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9962" w14:textId="6841354A" w:rsidR="007168FF" w:rsidRPr="00565FDB" w:rsidRDefault="007168FF" w:rsidP="007168FF">
      <w:pPr>
        <w:shd w:val="clear" w:color="auto" w:fill="FFFFFF"/>
        <w:spacing w:after="100" w:afterAutospacing="1" w:line="240" w:lineRule="auto"/>
        <w:rPr>
          <w:rFonts w:ascii="Nunito" w:eastAsia="Times New Roman" w:hAnsi="Nunito" w:cs="Times New Roman"/>
          <w:b/>
          <w:bCs/>
          <w:color w:val="000000"/>
          <w:kern w:val="0"/>
          <w:sz w:val="36"/>
          <w:szCs w:val="36"/>
          <w14:ligatures w14:val="none"/>
        </w:rPr>
      </w:pPr>
      <w:r>
        <w:rPr>
          <w:rFonts w:ascii="Nunito" w:eastAsia="Times New Roman" w:hAnsi="Nunito" w:cs="Times New Roman"/>
          <w:b/>
          <w:bCs/>
          <w:color w:val="000000"/>
          <w:kern w:val="0"/>
          <w:sz w:val="36"/>
          <w:szCs w:val="36"/>
          <w14:ligatures w14:val="none"/>
        </w:rPr>
        <w:t xml:space="preserve">Information about </w:t>
      </w:r>
      <w:r>
        <w:rPr>
          <w:rFonts w:ascii="Nunito" w:eastAsia="Times New Roman" w:hAnsi="Nunito" w:cs="Times New Roman"/>
          <w:b/>
          <w:bCs/>
          <w:color w:val="000000"/>
          <w:kern w:val="0"/>
          <w:sz w:val="36"/>
          <w:szCs w:val="36"/>
          <w14:ligatures w14:val="none"/>
        </w:rPr>
        <w:t>Teen</w:t>
      </w:r>
      <w:r w:rsidRPr="00565FDB">
        <w:rPr>
          <w:rFonts w:ascii="Nunito" w:eastAsia="Times New Roman" w:hAnsi="Nunito" w:cs="Times New Roman"/>
          <w:b/>
          <w:bCs/>
          <w:color w:val="000000"/>
          <w:kern w:val="0"/>
          <w:sz w:val="36"/>
          <w:szCs w:val="36"/>
          <w14:ligatures w14:val="none"/>
        </w:rPr>
        <w:t xml:space="preserve"> Vaccination Coverage in the United States</w:t>
      </w:r>
    </w:p>
    <w:p w14:paraId="21D7EEAB" w14:textId="77777777" w:rsidR="00D8326F" w:rsidRPr="00D8326F" w:rsidRDefault="00D8326F" w:rsidP="00D8326F">
      <w:pPr>
        <w:numPr>
          <w:ilvl w:val="0"/>
          <w:numId w:val="1"/>
        </w:numPr>
        <w:shd w:val="clear" w:color="auto" w:fill="FFFFFF"/>
        <w:spacing w:after="100" w:afterAutospacing="1" w:line="240" w:lineRule="auto"/>
        <w:rPr>
          <w:rFonts w:ascii="Nunito" w:eastAsia="Times New Roman" w:hAnsi="Nunito" w:cs="Times New Roman"/>
          <w:b/>
          <w:bCs/>
          <w:color w:val="000000"/>
          <w:kern w:val="0"/>
          <w:sz w:val="27"/>
          <w:szCs w:val="27"/>
          <w14:ligatures w14:val="none"/>
        </w:rPr>
      </w:pPr>
      <w:bookmarkStart w:id="0" w:name="1"/>
      <w:bookmarkEnd w:id="0"/>
      <w:r w:rsidRPr="00D8326F">
        <w:rPr>
          <w:rFonts w:ascii="Nunito" w:eastAsia="Times New Roman" w:hAnsi="Nunito" w:cs="Times New Roman"/>
          <w:b/>
          <w:bCs/>
          <w:color w:val="000000"/>
          <w:kern w:val="0"/>
          <w:sz w:val="27"/>
          <w:szCs w:val="27"/>
          <w14:ligatures w14:val="none"/>
        </w:rPr>
        <w:t>Why measure vaccination coverage?</w:t>
      </w:r>
    </w:p>
    <w:p w14:paraId="73EBDFD9" w14:textId="44135621" w:rsidR="00D8326F" w:rsidRPr="00D8326F" w:rsidRDefault="00D8326F" w:rsidP="00D8326F">
      <w:pPr>
        <w:shd w:val="clear" w:color="auto" w:fill="FFFFFF"/>
        <w:spacing w:after="100" w:afterAutospacing="1" w:line="240" w:lineRule="auto"/>
        <w:ind w:left="720"/>
        <w:rPr>
          <w:rFonts w:ascii="Nunito" w:eastAsia="Times New Roman" w:hAnsi="Nunito" w:cs="Times New Roman"/>
          <w:color w:val="000000"/>
          <w:kern w:val="0"/>
          <w:sz w:val="27"/>
          <w:szCs w:val="27"/>
          <w14:ligatures w14:val="none"/>
        </w:rPr>
      </w:pPr>
      <w:r w:rsidRPr="00D8326F">
        <w:rPr>
          <w:rFonts w:ascii="Nunito" w:eastAsia="Times New Roman" w:hAnsi="Nunito" w:cs="Times New Roman"/>
          <w:color w:val="000000"/>
          <w:kern w:val="0"/>
          <w:sz w:val="27"/>
          <w:szCs w:val="27"/>
          <w14:ligatures w14:val="none"/>
        </w:rPr>
        <w:t xml:space="preserve">Data on </w:t>
      </w:r>
      <w:r w:rsidR="007168FF">
        <w:rPr>
          <w:rFonts w:ascii="Nunito" w:eastAsia="Times New Roman" w:hAnsi="Nunito" w:cs="Times New Roman"/>
          <w:color w:val="000000"/>
          <w:kern w:val="0"/>
          <w:sz w:val="27"/>
          <w:szCs w:val="27"/>
          <w14:ligatures w14:val="none"/>
        </w:rPr>
        <w:t xml:space="preserve">teen </w:t>
      </w:r>
      <w:r w:rsidRPr="00D8326F">
        <w:rPr>
          <w:rFonts w:ascii="Nunito" w:eastAsia="Times New Roman" w:hAnsi="Nunito" w:cs="Times New Roman"/>
          <w:color w:val="000000"/>
          <w:kern w:val="0"/>
          <w:sz w:val="27"/>
          <w:szCs w:val="27"/>
          <w14:ligatures w14:val="none"/>
        </w:rPr>
        <w:t xml:space="preserve">vaccination coverage are used to identify groups of </w:t>
      </w:r>
      <w:r w:rsidR="007168FF">
        <w:rPr>
          <w:rFonts w:ascii="Nunito" w:eastAsia="Times New Roman" w:hAnsi="Nunito" w:cs="Times New Roman"/>
          <w:color w:val="000000"/>
          <w:kern w:val="0"/>
          <w:sz w:val="27"/>
          <w:szCs w:val="27"/>
          <w14:ligatures w14:val="none"/>
        </w:rPr>
        <w:t>teen</w:t>
      </w:r>
      <w:r w:rsidR="00591AB1">
        <w:rPr>
          <w:rFonts w:ascii="Nunito" w:eastAsia="Times New Roman" w:hAnsi="Nunito" w:cs="Times New Roman"/>
          <w:color w:val="000000"/>
          <w:kern w:val="0"/>
          <w:sz w:val="27"/>
          <w:szCs w:val="27"/>
          <w14:ligatures w14:val="none"/>
        </w:rPr>
        <w:t>agers</w:t>
      </w:r>
      <w:r w:rsidRPr="00D8326F">
        <w:rPr>
          <w:rFonts w:ascii="Nunito" w:eastAsia="Times New Roman" w:hAnsi="Nunito" w:cs="Times New Roman"/>
          <w:color w:val="000000"/>
          <w:kern w:val="0"/>
          <w:sz w:val="27"/>
          <w:szCs w:val="27"/>
          <w14:ligatures w14:val="none"/>
        </w:rPr>
        <w:t xml:space="preserve"> at risk of vaccine-preventable diseases like human papillomavirus (HPV), meningococcal disease, and pertussis (whooping cough); to determine what additional efforts are needed to increase coverage; and to evaluate the effectiveness of programs designed to increase coverage to protect </w:t>
      </w:r>
      <w:r w:rsidR="005A2D16">
        <w:rPr>
          <w:rFonts w:ascii="Nunito" w:eastAsia="Times New Roman" w:hAnsi="Nunito" w:cs="Times New Roman"/>
          <w:color w:val="000000"/>
          <w:kern w:val="0"/>
          <w:sz w:val="27"/>
          <w:szCs w:val="27"/>
          <w14:ligatures w14:val="none"/>
        </w:rPr>
        <w:t>teenager</w:t>
      </w:r>
      <w:r w:rsidRPr="00D8326F">
        <w:rPr>
          <w:rFonts w:ascii="Nunito" w:eastAsia="Times New Roman" w:hAnsi="Nunito" w:cs="Times New Roman"/>
          <w:color w:val="000000"/>
          <w:kern w:val="0"/>
          <w:sz w:val="27"/>
          <w:szCs w:val="27"/>
          <w14:ligatures w14:val="none"/>
        </w:rPr>
        <w:t>s.</w:t>
      </w:r>
    </w:p>
    <w:p w14:paraId="3AF77DD8" w14:textId="77777777" w:rsidR="00D8326F" w:rsidRPr="00D8326F" w:rsidRDefault="00D8326F" w:rsidP="00D8326F">
      <w:pPr>
        <w:numPr>
          <w:ilvl w:val="0"/>
          <w:numId w:val="1"/>
        </w:numPr>
        <w:shd w:val="clear" w:color="auto" w:fill="FFFFFF"/>
        <w:spacing w:after="100" w:afterAutospacing="1" w:line="240" w:lineRule="auto"/>
        <w:rPr>
          <w:rFonts w:ascii="Nunito" w:eastAsia="Times New Roman" w:hAnsi="Nunito" w:cs="Times New Roman"/>
          <w:b/>
          <w:bCs/>
          <w:color w:val="000000"/>
          <w:kern w:val="0"/>
          <w:sz w:val="27"/>
          <w:szCs w:val="27"/>
          <w14:ligatures w14:val="none"/>
        </w:rPr>
      </w:pPr>
      <w:bookmarkStart w:id="1" w:name="2"/>
      <w:bookmarkEnd w:id="1"/>
      <w:r w:rsidRPr="00D8326F">
        <w:rPr>
          <w:rFonts w:ascii="Nunito" w:eastAsia="Times New Roman" w:hAnsi="Nunito" w:cs="Times New Roman"/>
          <w:b/>
          <w:bCs/>
          <w:color w:val="000000"/>
          <w:kern w:val="0"/>
          <w:sz w:val="27"/>
          <w:szCs w:val="27"/>
          <w14:ligatures w14:val="none"/>
        </w:rPr>
        <w:t>What is the purpose of the NIS-Teen?</w:t>
      </w:r>
    </w:p>
    <w:p w14:paraId="43A3A49B" w14:textId="218717EF" w:rsidR="00D8326F" w:rsidRPr="00D8326F" w:rsidRDefault="00D8326F" w:rsidP="00D8326F">
      <w:pPr>
        <w:shd w:val="clear" w:color="auto" w:fill="FFFFFF"/>
        <w:spacing w:after="100" w:afterAutospacing="1" w:line="240" w:lineRule="auto"/>
        <w:ind w:left="720"/>
        <w:rPr>
          <w:rFonts w:ascii="Nunito" w:eastAsia="Times New Roman" w:hAnsi="Nunito" w:cs="Times New Roman"/>
          <w:color w:val="000000"/>
          <w:kern w:val="0"/>
          <w:sz w:val="27"/>
          <w:szCs w:val="27"/>
          <w14:ligatures w14:val="none"/>
        </w:rPr>
      </w:pPr>
      <w:r w:rsidRPr="00D8326F">
        <w:rPr>
          <w:rFonts w:ascii="Nunito" w:eastAsia="Times New Roman" w:hAnsi="Nunito" w:cs="Times New Roman"/>
          <w:color w:val="000000"/>
          <w:kern w:val="0"/>
          <w:sz w:val="27"/>
          <w:szCs w:val="27"/>
          <w14:ligatures w14:val="none"/>
        </w:rPr>
        <w:t xml:space="preserve">The NIS-Teen was established to provide an ongoing, consistent data set for monitoring </w:t>
      </w:r>
      <w:r w:rsidR="00591AB1">
        <w:rPr>
          <w:rFonts w:ascii="Nunito" w:eastAsia="Times New Roman" w:hAnsi="Nunito" w:cs="Times New Roman"/>
          <w:color w:val="000000"/>
          <w:kern w:val="0"/>
          <w:sz w:val="27"/>
          <w:szCs w:val="27"/>
          <w14:ligatures w14:val="none"/>
        </w:rPr>
        <w:t>teen</w:t>
      </w:r>
      <w:r w:rsidRPr="00D8326F">
        <w:rPr>
          <w:rFonts w:ascii="Nunito" w:eastAsia="Times New Roman" w:hAnsi="Nunito" w:cs="Times New Roman"/>
          <w:color w:val="000000"/>
          <w:kern w:val="0"/>
          <w:sz w:val="27"/>
          <w:szCs w:val="27"/>
          <w14:ligatures w14:val="none"/>
        </w:rPr>
        <w:t xml:space="preserve"> vaccination coverage in the United States. The NIS-Teen provides national, regional, state, and selected local area estimates of vaccination coverage for vaccines recommended by the </w:t>
      </w:r>
      <w:hyperlink r:id="rId5" w:history="1">
        <w:r w:rsidRPr="00D8326F">
          <w:rPr>
            <w:rFonts w:ascii="Nunito" w:eastAsia="Times New Roman" w:hAnsi="Nunito" w:cs="Times New Roman"/>
            <w:color w:val="075290"/>
            <w:kern w:val="0"/>
            <w:sz w:val="27"/>
            <w:szCs w:val="27"/>
            <w:u w:val="single"/>
            <w14:ligatures w14:val="none"/>
          </w:rPr>
          <w:t>Advisory Committee on Immunization Practices (ACIP).</w:t>
        </w:r>
      </w:hyperlink>
      <w:r w:rsidRPr="00D8326F">
        <w:rPr>
          <w:rFonts w:ascii="Nunito" w:eastAsia="Times New Roman" w:hAnsi="Nunito" w:cs="Times New Roman"/>
          <w:color w:val="000000"/>
          <w:kern w:val="0"/>
          <w:sz w:val="27"/>
          <w:szCs w:val="27"/>
          <w14:ligatures w14:val="none"/>
        </w:rPr>
        <w:t> It also helps CDC and immunization partners track progress towards Healthy People 20</w:t>
      </w:r>
      <w:r w:rsidR="00BF7AFF">
        <w:rPr>
          <w:rFonts w:ascii="Nunito" w:eastAsia="Times New Roman" w:hAnsi="Nunito" w:cs="Times New Roman"/>
          <w:color w:val="000000"/>
          <w:kern w:val="0"/>
          <w:sz w:val="27"/>
          <w:szCs w:val="27"/>
          <w14:ligatures w14:val="none"/>
        </w:rPr>
        <w:t>3</w:t>
      </w:r>
      <w:r w:rsidRPr="00D8326F">
        <w:rPr>
          <w:rFonts w:ascii="Nunito" w:eastAsia="Times New Roman" w:hAnsi="Nunito" w:cs="Times New Roman"/>
          <w:color w:val="000000"/>
          <w:kern w:val="0"/>
          <w:sz w:val="27"/>
          <w:szCs w:val="27"/>
          <w14:ligatures w14:val="none"/>
        </w:rPr>
        <w:t>0 targets.</w:t>
      </w:r>
    </w:p>
    <w:p w14:paraId="77EE9FAD" w14:textId="77777777" w:rsidR="00D8326F" w:rsidRPr="00D8326F" w:rsidRDefault="00D8326F" w:rsidP="00D8326F">
      <w:pPr>
        <w:numPr>
          <w:ilvl w:val="0"/>
          <w:numId w:val="1"/>
        </w:numPr>
        <w:shd w:val="clear" w:color="auto" w:fill="FFFFFF"/>
        <w:spacing w:after="100" w:afterAutospacing="1" w:line="240" w:lineRule="auto"/>
        <w:rPr>
          <w:rFonts w:ascii="Nunito" w:eastAsia="Times New Roman" w:hAnsi="Nunito" w:cs="Times New Roman"/>
          <w:b/>
          <w:bCs/>
          <w:color w:val="000000"/>
          <w:kern w:val="0"/>
          <w:sz w:val="27"/>
          <w:szCs w:val="27"/>
          <w14:ligatures w14:val="none"/>
        </w:rPr>
      </w:pPr>
      <w:bookmarkStart w:id="2" w:name="3"/>
      <w:bookmarkEnd w:id="2"/>
      <w:r w:rsidRPr="00D8326F">
        <w:rPr>
          <w:rFonts w:ascii="Nunito" w:eastAsia="Times New Roman" w:hAnsi="Nunito" w:cs="Times New Roman"/>
          <w:b/>
          <w:bCs/>
          <w:color w:val="000000"/>
          <w:kern w:val="0"/>
          <w:sz w:val="27"/>
          <w:szCs w:val="27"/>
          <w14:ligatures w14:val="none"/>
        </w:rPr>
        <w:t>How are data for the NIS-Teen collected?</w:t>
      </w:r>
    </w:p>
    <w:p w14:paraId="1870BA18" w14:textId="12975E23" w:rsidR="00D8326F" w:rsidRPr="00D8326F" w:rsidRDefault="00D8326F" w:rsidP="00D8326F">
      <w:pPr>
        <w:shd w:val="clear" w:color="auto" w:fill="FFFFFF"/>
        <w:spacing w:after="100" w:afterAutospacing="1" w:line="240" w:lineRule="auto"/>
        <w:ind w:left="720"/>
        <w:rPr>
          <w:rFonts w:ascii="Nunito" w:eastAsia="Times New Roman" w:hAnsi="Nunito" w:cs="Times New Roman"/>
          <w:color w:val="000000"/>
          <w:kern w:val="0"/>
          <w:sz w:val="27"/>
          <w:szCs w:val="27"/>
          <w14:ligatures w14:val="none"/>
        </w:rPr>
      </w:pPr>
      <w:r w:rsidRPr="00D8326F">
        <w:rPr>
          <w:rFonts w:ascii="Nunito" w:eastAsia="Times New Roman" w:hAnsi="Nunito" w:cs="Times New Roman"/>
          <w:color w:val="000000"/>
          <w:kern w:val="0"/>
          <w:sz w:val="27"/>
          <w:szCs w:val="27"/>
          <w14:ligatures w14:val="none"/>
        </w:rPr>
        <w:t xml:space="preserve">We use random-digit-dialing to find households with </w:t>
      </w:r>
      <w:r w:rsidR="00A2325F">
        <w:rPr>
          <w:rFonts w:ascii="Nunito" w:eastAsia="Times New Roman" w:hAnsi="Nunito" w:cs="Times New Roman"/>
          <w:color w:val="000000"/>
          <w:kern w:val="0"/>
          <w:sz w:val="27"/>
          <w:szCs w:val="27"/>
          <w14:ligatures w14:val="none"/>
        </w:rPr>
        <w:t>teenagers</w:t>
      </w:r>
      <w:r w:rsidRPr="00D8326F">
        <w:rPr>
          <w:rFonts w:ascii="Nunito" w:eastAsia="Times New Roman" w:hAnsi="Nunito" w:cs="Times New Roman"/>
          <w:color w:val="000000"/>
          <w:kern w:val="0"/>
          <w:sz w:val="27"/>
          <w:szCs w:val="27"/>
          <w14:ligatures w14:val="none"/>
        </w:rPr>
        <w:t xml:space="preserve"> 13 through 17 years. We ask parents or guardians about some of the vaccinations the </w:t>
      </w:r>
      <w:r w:rsidR="00A2325F">
        <w:rPr>
          <w:rFonts w:ascii="Nunito" w:eastAsia="Times New Roman" w:hAnsi="Nunito" w:cs="Times New Roman"/>
          <w:color w:val="000000"/>
          <w:kern w:val="0"/>
          <w:sz w:val="27"/>
          <w:szCs w:val="27"/>
          <w14:ligatures w14:val="none"/>
        </w:rPr>
        <w:t xml:space="preserve">teen </w:t>
      </w:r>
      <w:r w:rsidRPr="00D8326F">
        <w:rPr>
          <w:rFonts w:ascii="Nunito" w:eastAsia="Times New Roman" w:hAnsi="Nunito" w:cs="Times New Roman"/>
          <w:color w:val="000000"/>
          <w:kern w:val="0"/>
          <w:sz w:val="27"/>
          <w:szCs w:val="27"/>
          <w14:ligatures w14:val="none"/>
        </w:rPr>
        <w:t xml:space="preserve">may have received. We also collect demographic and socioeconomic information. At the end of the interview, we ask for permission to contact the </w:t>
      </w:r>
      <w:r w:rsidR="00A2325F">
        <w:rPr>
          <w:rFonts w:ascii="Nunito" w:eastAsia="Times New Roman" w:hAnsi="Nunito" w:cs="Times New Roman"/>
          <w:color w:val="000000"/>
          <w:kern w:val="0"/>
          <w:sz w:val="27"/>
          <w:szCs w:val="27"/>
          <w14:ligatures w14:val="none"/>
        </w:rPr>
        <w:t>teen</w:t>
      </w:r>
      <w:r w:rsidRPr="00D8326F">
        <w:rPr>
          <w:rFonts w:ascii="Nunito" w:eastAsia="Times New Roman" w:hAnsi="Nunito" w:cs="Times New Roman"/>
          <w:color w:val="000000"/>
          <w:kern w:val="0"/>
          <w:sz w:val="27"/>
          <w:szCs w:val="27"/>
          <w14:ligatures w14:val="none"/>
        </w:rPr>
        <w:t xml:space="preserve">’s vaccination providers. Providers are then contacted by mail to report each of the </w:t>
      </w:r>
      <w:r w:rsidR="00A2325F">
        <w:rPr>
          <w:rFonts w:ascii="Nunito" w:eastAsia="Times New Roman" w:hAnsi="Nunito" w:cs="Times New Roman"/>
          <w:color w:val="000000"/>
          <w:kern w:val="0"/>
          <w:sz w:val="27"/>
          <w:szCs w:val="27"/>
          <w14:ligatures w14:val="none"/>
        </w:rPr>
        <w:t>teen</w:t>
      </w:r>
      <w:r w:rsidRPr="00D8326F">
        <w:rPr>
          <w:rFonts w:ascii="Nunito" w:eastAsia="Times New Roman" w:hAnsi="Nunito" w:cs="Times New Roman"/>
          <w:color w:val="000000"/>
          <w:kern w:val="0"/>
          <w:sz w:val="27"/>
          <w:szCs w:val="27"/>
          <w14:ligatures w14:val="none"/>
        </w:rPr>
        <w:t>’s vaccinations. All vaccination coverage estimates are based on provider-reported vaccination histories.</w:t>
      </w:r>
    </w:p>
    <w:p w14:paraId="379FE324" w14:textId="77777777" w:rsidR="00D8326F" w:rsidRPr="00D8326F" w:rsidRDefault="00D8326F" w:rsidP="00D8326F">
      <w:pPr>
        <w:numPr>
          <w:ilvl w:val="0"/>
          <w:numId w:val="1"/>
        </w:numPr>
        <w:shd w:val="clear" w:color="auto" w:fill="FFFFFF"/>
        <w:spacing w:after="100" w:afterAutospacing="1" w:line="240" w:lineRule="auto"/>
        <w:rPr>
          <w:rFonts w:ascii="Nunito" w:eastAsia="Times New Roman" w:hAnsi="Nunito" w:cs="Times New Roman"/>
          <w:b/>
          <w:bCs/>
          <w:color w:val="000000"/>
          <w:kern w:val="0"/>
          <w:sz w:val="27"/>
          <w:szCs w:val="27"/>
          <w14:ligatures w14:val="none"/>
        </w:rPr>
      </w:pPr>
      <w:bookmarkStart w:id="3" w:name="4"/>
      <w:bookmarkEnd w:id="3"/>
      <w:r w:rsidRPr="00D8326F">
        <w:rPr>
          <w:rFonts w:ascii="Nunito" w:eastAsia="Times New Roman" w:hAnsi="Nunito" w:cs="Times New Roman"/>
          <w:b/>
          <w:bCs/>
          <w:color w:val="000000"/>
          <w:kern w:val="0"/>
          <w:sz w:val="27"/>
          <w:szCs w:val="27"/>
          <w14:ligatures w14:val="none"/>
        </w:rPr>
        <w:t>What are the strengths of NIS-Teen?</w:t>
      </w:r>
    </w:p>
    <w:p w14:paraId="0BD9AD4E" w14:textId="6275D53F" w:rsidR="00D8326F" w:rsidRPr="00D8326F" w:rsidRDefault="00D8326F" w:rsidP="00D8326F">
      <w:pPr>
        <w:shd w:val="clear" w:color="auto" w:fill="FFFFFF"/>
        <w:spacing w:after="100" w:afterAutospacing="1" w:line="240" w:lineRule="auto"/>
        <w:ind w:left="720"/>
        <w:rPr>
          <w:rFonts w:ascii="Nunito" w:eastAsia="Times New Roman" w:hAnsi="Nunito" w:cs="Times New Roman"/>
          <w:color w:val="000000"/>
          <w:kern w:val="0"/>
          <w:sz w:val="27"/>
          <w:szCs w:val="27"/>
          <w14:ligatures w14:val="none"/>
        </w:rPr>
      </w:pPr>
      <w:r w:rsidRPr="00D8326F">
        <w:rPr>
          <w:rFonts w:ascii="Nunito" w:eastAsia="Times New Roman" w:hAnsi="Nunito" w:cs="Times New Roman"/>
          <w:color w:val="000000"/>
          <w:kern w:val="0"/>
          <w:sz w:val="27"/>
          <w:szCs w:val="27"/>
          <w14:ligatures w14:val="none"/>
        </w:rPr>
        <w:lastRenderedPageBreak/>
        <w:t xml:space="preserve">The NIS-Teen uses a </w:t>
      </w:r>
      <w:r w:rsidR="00D12DA4" w:rsidRPr="00D8326F">
        <w:rPr>
          <w:rFonts w:ascii="Nunito" w:eastAsia="Times New Roman" w:hAnsi="Nunito" w:cs="Times New Roman"/>
          <w:color w:val="000000"/>
          <w:kern w:val="0"/>
          <w:sz w:val="27"/>
          <w:szCs w:val="27"/>
          <w14:ligatures w14:val="none"/>
        </w:rPr>
        <w:t>nationally representative</w:t>
      </w:r>
      <w:r w:rsidRPr="00D8326F">
        <w:rPr>
          <w:rFonts w:ascii="Nunito" w:eastAsia="Times New Roman" w:hAnsi="Nunito" w:cs="Times New Roman"/>
          <w:color w:val="000000"/>
          <w:kern w:val="0"/>
          <w:sz w:val="27"/>
          <w:szCs w:val="27"/>
          <w14:ligatures w14:val="none"/>
        </w:rPr>
        <w:t xml:space="preserve"> sample to estimate vaccination coverage weighted to represent the entire population for the nation, each HHS region, state, and selected local areas. The large sample size allows us to stratify (that is, subdivide) the data so that we can examine vaccination rates among different groups, by income level, race, and other factors.</w:t>
      </w:r>
    </w:p>
    <w:p w14:paraId="38DA38EB" w14:textId="77777777" w:rsidR="00D8326F" w:rsidRPr="00D8326F" w:rsidRDefault="00D8326F" w:rsidP="00D8326F">
      <w:pPr>
        <w:numPr>
          <w:ilvl w:val="0"/>
          <w:numId w:val="1"/>
        </w:numPr>
        <w:shd w:val="clear" w:color="auto" w:fill="FFFFFF"/>
        <w:spacing w:after="100" w:afterAutospacing="1" w:line="240" w:lineRule="auto"/>
        <w:rPr>
          <w:rFonts w:ascii="Nunito" w:eastAsia="Times New Roman" w:hAnsi="Nunito" w:cs="Times New Roman"/>
          <w:b/>
          <w:bCs/>
          <w:color w:val="000000"/>
          <w:kern w:val="0"/>
          <w:sz w:val="27"/>
          <w:szCs w:val="27"/>
          <w14:ligatures w14:val="none"/>
        </w:rPr>
      </w:pPr>
      <w:bookmarkStart w:id="4" w:name="5"/>
      <w:bookmarkEnd w:id="4"/>
      <w:r w:rsidRPr="00D8326F">
        <w:rPr>
          <w:rFonts w:ascii="Nunito" w:eastAsia="Times New Roman" w:hAnsi="Nunito" w:cs="Times New Roman"/>
          <w:b/>
          <w:bCs/>
          <w:color w:val="000000"/>
          <w:kern w:val="0"/>
          <w:sz w:val="27"/>
          <w:szCs w:val="27"/>
          <w14:ligatures w14:val="none"/>
        </w:rPr>
        <w:t xml:space="preserve">What </w:t>
      </w:r>
      <w:proofErr w:type="gramStart"/>
      <w:r w:rsidRPr="00D8326F">
        <w:rPr>
          <w:rFonts w:ascii="Nunito" w:eastAsia="Times New Roman" w:hAnsi="Nunito" w:cs="Times New Roman"/>
          <w:b/>
          <w:bCs/>
          <w:color w:val="000000"/>
          <w:kern w:val="0"/>
          <w:sz w:val="27"/>
          <w:szCs w:val="27"/>
          <w14:ligatures w14:val="none"/>
        </w:rPr>
        <w:t>are</w:t>
      </w:r>
      <w:proofErr w:type="gramEnd"/>
      <w:r w:rsidRPr="00D8326F">
        <w:rPr>
          <w:rFonts w:ascii="Nunito" w:eastAsia="Times New Roman" w:hAnsi="Nunito" w:cs="Times New Roman"/>
          <w:b/>
          <w:bCs/>
          <w:color w:val="000000"/>
          <w:kern w:val="0"/>
          <w:sz w:val="27"/>
          <w:szCs w:val="27"/>
          <w14:ligatures w14:val="none"/>
        </w:rPr>
        <w:t xml:space="preserve"> the vaccination coverage estimates for my local area?</w:t>
      </w:r>
    </w:p>
    <w:p w14:paraId="26C64FF6" w14:textId="041BF946" w:rsidR="00D8326F" w:rsidRPr="00D8326F" w:rsidRDefault="00D8326F" w:rsidP="00D8326F">
      <w:pPr>
        <w:shd w:val="clear" w:color="auto" w:fill="FFFFFF"/>
        <w:spacing w:after="100" w:afterAutospacing="1" w:line="240" w:lineRule="auto"/>
        <w:ind w:left="720"/>
        <w:rPr>
          <w:rFonts w:ascii="Nunito" w:eastAsia="Times New Roman" w:hAnsi="Nunito" w:cs="Times New Roman"/>
          <w:color w:val="000000"/>
          <w:kern w:val="0"/>
          <w:sz w:val="27"/>
          <w:szCs w:val="27"/>
          <w14:ligatures w14:val="none"/>
        </w:rPr>
      </w:pPr>
      <w:r w:rsidRPr="00D8326F">
        <w:rPr>
          <w:rFonts w:ascii="Nunito" w:eastAsia="Times New Roman" w:hAnsi="Nunito" w:cs="Times New Roman"/>
          <w:color w:val="000000"/>
          <w:kern w:val="0"/>
          <w:sz w:val="27"/>
          <w:szCs w:val="27"/>
          <w14:ligatures w14:val="none"/>
        </w:rPr>
        <w:t>The NIS-Teen estimates vaccination coverage for the 50 states and selected loca</w:t>
      </w:r>
      <w:r w:rsidRPr="00D8326F">
        <w:rPr>
          <w:rFonts w:ascii="Nunito" w:eastAsia="Times New Roman" w:hAnsi="Nunito" w:cs="Times New Roman"/>
          <w:color w:val="000000"/>
          <w:kern w:val="0"/>
          <w:sz w:val="27"/>
          <w:szCs w:val="27"/>
          <w14:ligatures w14:val="none"/>
        </w:rPr>
        <w:t>l</w:t>
      </w:r>
      <w:r w:rsidRPr="00D8326F">
        <w:rPr>
          <w:rFonts w:ascii="Nunito" w:eastAsia="Times New Roman" w:hAnsi="Nunito" w:cs="Times New Roman"/>
          <w:color w:val="000000"/>
          <w:kern w:val="0"/>
          <w:sz w:val="27"/>
          <w:szCs w:val="27"/>
          <w14:ligatures w14:val="none"/>
        </w:rPr>
        <w:t xml:space="preserve"> areas. Data are available on </w:t>
      </w:r>
      <w:hyperlink r:id="rId6" w:history="1">
        <w:r w:rsidRPr="00D8326F">
          <w:rPr>
            <w:rFonts w:ascii="Nunito" w:eastAsia="Times New Roman" w:hAnsi="Nunito" w:cs="Times New Roman"/>
            <w:color w:val="075290"/>
            <w:kern w:val="0"/>
            <w:sz w:val="27"/>
            <w:szCs w:val="27"/>
            <w:u w:val="single"/>
            <w14:ligatures w14:val="none"/>
          </w:rPr>
          <w:t>TeenVaxView Interactive!</w:t>
        </w:r>
      </w:hyperlink>
    </w:p>
    <w:p w14:paraId="13F4B05A" w14:textId="77777777" w:rsidR="00C94DBB" w:rsidRDefault="00C94DBB"/>
    <w:sectPr w:rsidR="00C94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555EE"/>
    <w:multiLevelType w:val="multilevel"/>
    <w:tmpl w:val="A7F88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879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6F"/>
    <w:rsid w:val="00241099"/>
    <w:rsid w:val="00265943"/>
    <w:rsid w:val="00312DC7"/>
    <w:rsid w:val="00591AB1"/>
    <w:rsid w:val="005A2D16"/>
    <w:rsid w:val="007168FF"/>
    <w:rsid w:val="0082312E"/>
    <w:rsid w:val="00A2325F"/>
    <w:rsid w:val="00BF7AFF"/>
    <w:rsid w:val="00C94DBB"/>
    <w:rsid w:val="00CA0FAA"/>
    <w:rsid w:val="00D12DA4"/>
    <w:rsid w:val="00D8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6E2E"/>
  <w15:chartTrackingRefBased/>
  <w15:docId w15:val="{806EEBDA-1995-4664-91B2-8D501142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12E"/>
    <w:rPr>
      <w:color w:val="0563C1" w:themeColor="hyperlink"/>
      <w:u w:val="single"/>
    </w:rPr>
  </w:style>
  <w:style w:type="character" w:styleId="UnresolvedMention">
    <w:name w:val="Unresolved Mention"/>
    <w:basedOn w:val="DefaultParagraphFont"/>
    <w:uiPriority w:val="99"/>
    <w:semiHidden/>
    <w:unhideWhenUsed/>
    <w:rsid w:val="0082312E"/>
    <w:rPr>
      <w:color w:val="605E5C"/>
      <w:shd w:val="clear" w:color="auto" w:fill="E1DFDD"/>
    </w:rPr>
  </w:style>
  <w:style w:type="character" w:styleId="FollowedHyperlink">
    <w:name w:val="FollowedHyperlink"/>
    <w:basedOn w:val="DefaultParagraphFont"/>
    <w:uiPriority w:val="99"/>
    <w:semiHidden/>
    <w:unhideWhenUsed/>
    <w:rsid w:val="00823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1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cms-wp.cdc.gov/vaccines/imz-managers/coverage/teenvaxview/data-reports/index.html" TargetMode="External"/><Relationship Id="rId5" Type="http://schemas.openxmlformats.org/officeDocument/2006/relationships/hyperlink" Target="https://wcms-wp.cdc.gov/vaccines/ac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Cindi (CDC/NCIRD/ISD)</dc:creator>
  <cp:keywords/>
  <dc:description/>
  <cp:lastModifiedBy>Knighton, Cindi (CDC/NCIRD/ISD)</cp:lastModifiedBy>
  <cp:revision>10</cp:revision>
  <dcterms:created xsi:type="dcterms:W3CDTF">2024-09-04T12:42:00Z</dcterms:created>
  <dcterms:modified xsi:type="dcterms:W3CDTF">2024-09-04T14:10:00Z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2024-09-04T12:43:46Z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c185220c-93d3-483b-b47d-974ef182140a</vt:lpwstr>
  </property>
  <property fmtid="{D5CDD505-2E9C-101B-9397-08002B2CF9AE}" pid="8" name="MSIP_Label_7b94a7b8-f06c-4dfe-bdcc-9b548fd58c31_ContentBits">
    <vt:lpwstr>0</vt:lpwstr>
  </property>
</Properties>
</file>