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3B" w:rsidRDefault="00B3363B" w:rsidP="00B3363B">
      <w:pPr>
        <w:rPr>
          <w:noProof/>
        </w:rPr>
      </w:pPr>
      <w:bookmarkStart w:id="0" w:name="_GoBack"/>
      <w:bookmarkEnd w:id="0"/>
      <w:r>
        <w:rPr>
          <w:noProof/>
        </w:rPr>
        <w:t>Appendix A. Breakdown of Worksite Instrument by Adminstration Mode</w:t>
      </w:r>
    </w:p>
    <w:p w:rsidR="00B3363B" w:rsidRDefault="00B3363B" w:rsidP="00B3363B">
      <w:pPr>
        <w:rPr>
          <w:noProof/>
        </w:rPr>
      </w:pPr>
      <w:r>
        <w:rPr>
          <w:noProof/>
        </w:rPr>
        <w:drawing>
          <wp:inline distT="0" distB="0" distL="0" distR="0">
            <wp:extent cx="5940425" cy="4046855"/>
            <wp:effectExtent l="0" t="0" r="22225" b="1079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3363B" w:rsidRDefault="00B3363B" w:rsidP="00B3363B">
      <w:pPr>
        <w:rPr>
          <w:noProof/>
        </w:rPr>
      </w:pPr>
    </w:p>
    <w:p w:rsidR="001A5C9D" w:rsidRDefault="002C1155"/>
    <w:sectPr w:rsidR="001A5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3B"/>
    <w:rsid w:val="00087494"/>
    <w:rsid w:val="000B6E18"/>
    <w:rsid w:val="001241A1"/>
    <w:rsid w:val="00127572"/>
    <w:rsid w:val="002C1155"/>
    <w:rsid w:val="002D1855"/>
    <w:rsid w:val="002D3D0C"/>
    <w:rsid w:val="0030127A"/>
    <w:rsid w:val="00335E7E"/>
    <w:rsid w:val="00411D1A"/>
    <w:rsid w:val="00427F9B"/>
    <w:rsid w:val="00440224"/>
    <w:rsid w:val="00451D73"/>
    <w:rsid w:val="004627CF"/>
    <w:rsid w:val="00464729"/>
    <w:rsid w:val="00467E7D"/>
    <w:rsid w:val="004725E4"/>
    <w:rsid w:val="004851C5"/>
    <w:rsid w:val="00495EC7"/>
    <w:rsid w:val="004C0223"/>
    <w:rsid w:val="005969F0"/>
    <w:rsid w:val="005C1B6C"/>
    <w:rsid w:val="006653E1"/>
    <w:rsid w:val="006A5D34"/>
    <w:rsid w:val="00722BF2"/>
    <w:rsid w:val="007C6806"/>
    <w:rsid w:val="007F163A"/>
    <w:rsid w:val="00822AA3"/>
    <w:rsid w:val="00847D2B"/>
    <w:rsid w:val="00892623"/>
    <w:rsid w:val="009715EB"/>
    <w:rsid w:val="009C3696"/>
    <w:rsid w:val="009F6861"/>
    <w:rsid w:val="00A122E1"/>
    <w:rsid w:val="00A32F42"/>
    <w:rsid w:val="00B3363B"/>
    <w:rsid w:val="00B3756E"/>
    <w:rsid w:val="00B667A8"/>
    <w:rsid w:val="00BA41A2"/>
    <w:rsid w:val="00C3118D"/>
    <w:rsid w:val="00C56813"/>
    <w:rsid w:val="00CD004E"/>
    <w:rsid w:val="00CD412E"/>
    <w:rsid w:val="00CE781B"/>
    <w:rsid w:val="00D615B9"/>
    <w:rsid w:val="00E41BEE"/>
    <w:rsid w:val="00E44207"/>
    <w:rsid w:val="00EB452C"/>
    <w:rsid w:val="00EC50CD"/>
    <w:rsid w:val="00E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3B"/>
    <w:pPr>
      <w:spacing w:after="0" w:line="48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6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63B"/>
    <w:pPr>
      <w:spacing w:after="0" w:line="48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6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James\Dropbox\Measures%20review%20paper\HppDiabetesManuscript\Graph%20Analysis%2007.14.2014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Breakdown of Worksite</a:t>
            </a:r>
            <a:r>
              <a:rPr lang="en-US" baseline="0"/>
              <a:t> Instrument</a:t>
            </a:r>
            <a:r>
              <a:rPr lang="en-US"/>
              <a:t> by Administration Mode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Pyramid!$C$1</c:f>
              <c:strCache>
                <c:ptCount val="1"/>
                <c:pt idx="0">
                  <c:v>Physical Activity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cat>
            <c:multiLvlStrRef>
              <c:f>Pyramid!$A$2:$B$18</c:f>
              <c:multiLvlStrCache>
                <c:ptCount val="17"/>
                <c:lvl>
                  <c:pt idx="0">
                    <c:v>EAT</c:v>
                  </c:pt>
                  <c:pt idx="1">
                    <c:v>CHEW</c:v>
                  </c:pt>
                  <c:pt idx="2">
                    <c:v>WWT</c:v>
                  </c:pt>
                  <c:pt idx="3">
                    <c:v>WWAT</c:v>
                  </c:pt>
                  <c:pt idx="4">
                    <c:v>HRTCHK</c:v>
                  </c:pt>
                  <c:pt idx="5">
                    <c:v>WEM</c:v>
                  </c:pt>
                  <c:pt idx="6">
                    <c:v>CHLI</c:v>
                  </c:pt>
                  <c:pt idx="7">
                    <c:v>WI</c:v>
                  </c:pt>
                  <c:pt idx="8">
                    <c:v>WPAF</c:v>
                  </c:pt>
                  <c:pt idx="9">
                    <c:v>CA</c:v>
                  </c:pt>
                  <c:pt idx="10">
                    <c:v>WEBS</c:v>
                  </c:pt>
                  <c:pt idx="11">
                    <c:v>WNECS</c:v>
                  </c:pt>
                  <c:pt idx="12">
                    <c:v>NQLS</c:v>
                  </c:pt>
                  <c:pt idx="13">
                    <c:v>SEALS</c:v>
                  </c:pt>
                  <c:pt idx="14">
                    <c:v>OFFESS</c:v>
                  </c:pt>
                  <c:pt idx="15">
                    <c:v>KACZ</c:v>
                  </c:pt>
                  <c:pt idx="16">
                    <c:v>EPM</c:v>
                  </c:pt>
                </c:lvl>
                <c:lvl>
                  <c:pt idx="0">
                    <c:v>Multiple</c:v>
                  </c:pt>
                  <c:pt idx="3">
                    <c:v>Observation</c:v>
                  </c:pt>
                  <c:pt idx="4">
                    <c:v>Manager Report</c:v>
                  </c:pt>
                  <c:pt idx="9">
                    <c:v>Self-Report</c:v>
                  </c:pt>
                </c:lvl>
              </c:multiLvlStrCache>
            </c:multiLvlStrRef>
          </c:cat>
          <c:val>
            <c:numRef>
              <c:f>Pyramid!$C$2:$C$18</c:f>
              <c:numCache>
                <c:formatCode>General</c:formatCode>
                <c:ptCount val="17"/>
                <c:pt idx="0">
                  <c:v>-151</c:v>
                </c:pt>
                <c:pt idx="1">
                  <c:v>-107</c:v>
                </c:pt>
                <c:pt idx="2">
                  <c:v>0</c:v>
                </c:pt>
                <c:pt idx="3">
                  <c:v>-14</c:v>
                </c:pt>
                <c:pt idx="4">
                  <c:v>-53</c:v>
                </c:pt>
                <c:pt idx="5">
                  <c:v>-60</c:v>
                </c:pt>
                <c:pt idx="6">
                  <c:v>-17</c:v>
                </c:pt>
                <c:pt idx="7">
                  <c:v>-15</c:v>
                </c:pt>
                <c:pt idx="8">
                  <c:v>-39</c:v>
                </c:pt>
                <c:pt idx="9">
                  <c:v>-42</c:v>
                </c:pt>
                <c:pt idx="10">
                  <c:v>-46</c:v>
                </c:pt>
                <c:pt idx="11">
                  <c:v>-22</c:v>
                </c:pt>
                <c:pt idx="12">
                  <c:v>-42</c:v>
                </c:pt>
                <c:pt idx="13">
                  <c:v>-28</c:v>
                </c:pt>
                <c:pt idx="14">
                  <c:v>-12</c:v>
                </c:pt>
                <c:pt idx="15">
                  <c:v>-11</c:v>
                </c:pt>
                <c:pt idx="16">
                  <c:v>-10</c:v>
                </c:pt>
              </c:numCache>
            </c:numRef>
          </c:val>
        </c:ser>
        <c:ser>
          <c:idx val="1"/>
          <c:order val="1"/>
          <c:tx>
            <c:strRef>
              <c:f>Pyramid!$D$1</c:f>
              <c:strCache>
                <c:ptCount val="1"/>
                <c:pt idx="0">
                  <c:v>Healthy Eating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cat>
            <c:multiLvlStrRef>
              <c:f>Pyramid!$A$2:$B$18</c:f>
              <c:multiLvlStrCache>
                <c:ptCount val="17"/>
                <c:lvl>
                  <c:pt idx="0">
                    <c:v>EAT</c:v>
                  </c:pt>
                  <c:pt idx="1">
                    <c:v>CHEW</c:v>
                  </c:pt>
                  <c:pt idx="2">
                    <c:v>WWT</c:v>
                  </c:pt>
                  <c:pt idx="3">
                    <c:v>WWAT</c:v>
                  </c:pt>
                  <c:pt idx="4">
                    <c:v>HRTCHK</c:v>
                  </c:pt>
                  <c:pt idx="5">
                    <c:v>WEM</c:v>
                  </c:pt>
                  <c:pt idx="6">
                    <c:v>CHLI</c:v>
                  </c:pt>
                  <c:pt idx="7">
                    <c:v>WI</c:v>
                  </c:pt>
                  <c:pt idx="8">
                    <c:v>WPAF</c:v>
                  </c:pt>
                  <c:pt idx="9">
                    <c:v>CA</c:v>
                  </c:pt>
                  <c:pt idx="10">
                    <c:v>WEBS</c:v>
                  </c:pt>
                  <c:pt idx="11">
                    <c:v>WNECS</c:v>
                  </c:pt>
                  <c:pt idx="12">
                    <c:v>NQLS</c:v>
                  </c:pt>
                  <c:pt idx="13">
                    <c:v>SEALS</c:v>
                  </c:pt>
                  <c:pt idx="14">
                    <c:v>OFFESS</c:v>
                  </c:pt>
                  <c:pt idx="15">
                    <c:v>KACZ</c:v>
                  </c:pt>
                  <c:pt idx="16">
                    <c:v>EPM</c:v>
                  </c:pt>
                </c:lvl>
                <c:lvl>
                  <c:pt idx="0">
                    <c:v>Multiple</c:v>
                  </c:pt>
                  <c:pt idx="3">
                    <c:v>Observation</c:v>
                  </c:pt>
                  <c:pt idx="4">
                    <c:v>Manager Report</c:v>
                  </c:pt>
                  <c:pt idx="9">
                    <c:v>Self-Report</c:v>
                  </c:pt>
                </c:lvl>
              </c:multiLvlStrCache>
            </c:multiLvlStrRef>
          </c:cat>
          <c:val>
            <c:numRef>
              <c:f>Pyramid!$D$2:$D$18</c:f>
              <c:numCache>
                <c:formatCode>General</c:formatCode>
                <c:ptCount val="17"/>
                <c:pt idx="0">
                  <c:v>83</c:v>
                </c:pt>
                <c:pt idx="1">
                  <c:v>48</c:v>
                </c:pt>
                <c:pt idx="2">
                  <c:v>12</c:v>
                </c:pt>
                <c:pt idx="3">
                  <c:v>0</c:v>
                </c:pt>
                <c:pt idx="4">
                  <c:v>61</c:v>
                </c:pt>
                <c:pt idx="5">
                  <c:v>43</c:v>
                </c:pt>
                <c:pt idx="6">
                  <c:v>24</c:v>
                </c:pt>
                <c:pt idx="7">
                  <c:v>16</c:v>
                </c:pt>
                <c:pt idx="8">
                  <c:v>0</c:v>
                </c:pt>
                <c:pt idx="9">
                  <c:v>45</c:v>
                </c:pt>
                <c:pt idx="10">
                  <c:v>26</c:v>
                </c:pt>
                <c:pt idx="11">
                  <c:v>11</c:v>
                </c:pt>
                <c:pt idx="12">
                  <c:v>0</c:v>
                </c:pt>
                <c:pt idx="13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6"/>
        <c:overlap val="100"/>
        <c:axId val="47880448"/>
        <c:axId val="48085632"/>
      </c:barChart>
      <c:catAx>
        <c:axId val="4788044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en-US" sz="1200"/>
                  <a:t>Worksite Instrument Title by Administration Mode</a:t>
                </a:r>
              </a:p>
            </c:rich>
          </c:tx>
          <c:layout>
            <c:manualLayout>
              <c:xMode val="edge"/>
              <c:yMode val="edge"/>
              <c:x val="5.8944886531093425E-3"/>
              <c:y val="0.23884229800529502"/>
            </c:manualLayout>
          </c:layout>
          <c:overlay val="0"/>
        </c:title>
        <c:majorTickMark val="cross"/>
        <c:minorTickMark val="none"/>
        <c:tickLblPos val="low"/>
        <c:crossAx val="48085632"/>
        <c:crosses val="autoZero"/>
        <c:auto val="1"/>
        <c:lblAlgn val="ctr"/>
        <c:lblOffset val="100"/>
        <c:tickLblSkip val="1"/>
        <c:noMultiLvlLbl val="0"/>
      </c:catAx>
      <c:valAx>
        <c:axId val="48085632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Number of Items</a:t>
                </a:r>
                <a:r>
                  <a:rPr lang="en-US" sz="1200" baseline="0"/>
                  <a:t> by Physical Activity and Healthy Eating</a:t>
                </a:r>
                <a:endParaRPr lang="en-US" sz="1200"/>
              </a:p>
            </c:rich>
          </c:tx>
          <c:layout/>
          <c:overlay val="0"/>
        </c:title>
        <c:numFmt formatCode="0;0" sourceLinked="0"/>
        <c:majorTickMark val="out"/>
        <c:minorTickMark val="none"/>
        <c:tickLblPos val="nextTo"/>
        <c:crossAx val="478804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5" name="Straight Connector 4"/>
        <cdr:cNvSpPr/>
      </cdr:nvSpPr>
      <cdr:spPr>
        <a:xfrm xmlns:a="http://schemas.openxmlformats.org/drawingml/2006/main">
          <a:off x="-3200400" y="-514350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Measures of Worksite Environmental and Policy Supports for Physical Activity and Healthy Eating</vt:lpstr>
    </vt:vector>
  </TitlesOfParts>
  <Company>Centers for Disease Control and Prevention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Measures of Worksite Environmental and Policy Supports for Physical Activity and Healthy Eating</dc:title>
  <dc:creator>Martin, Camille S. (CDC/ONDIEH/NCCDPHP)</dc:creator>
  <cp:keywords>Key words: worksites, workplace, energy balance, obesity, diabetes, physical activity, healthy eating, measurement, health policy, nutrition policy</cp:keywords>
  <cp:lastModifiedBy>Martin, Camille S. (CDC/ONDIEH/NCCDPHP)</cp:lastModifiedBy>
  <cp:revision>3</cp:revision>
  <dcterms:created xsi:type="dcterms:W3CDTF">2015-02-18T17:56:00Z</dcterms:created>
  <dcterms:modified xsi:type="dcterms:W3CDTF">2015-03-06T19:37:00Z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