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935B" w14:textId="5BC06E9C" w:rsidR="00F01D9C" w:rsidRDefault="00B87F72" w:rsidP="007C088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Protecting Temporary Workers: Best Practices for Host Employers </w:t>
      </w:r>
      <w:r w:rsidR="00E47955">
        <w:rPr>
          <w:b/>
          <w:bCs/>
        </w:rPr>
        <w:t>– Dissemination Toolkit</w:t>
      </w:r>
    </w:p>
    <w:p w14:paraId="1B14956B" w14:textId="00604738" w:rsidR="00B90A3B" w:rsidRPr="00F01D9C" w:rsidRDefault="00B87F72" w:rsidP="007C088A">
      <w:pPr>
        <w:spacing w:after="0" w:line="240" w:lineRule="auto"/>
        <w:jc w:val="center"/>
        <w:rPr>
          <w:i/>
          <w:iCs/>
        </w:rPr>
      </w:pPr>
      <w:r w:rsidRPr="00F01D9C">
        <w:rPr>
          <w:i/>
          <w:iCs/>
        </w:rPr>
        <w:t>Draft</w:t>
      </w:r>
      <w:r w:rsidR="00B90A3B" w:rsidRPr="00F01D9C">
        <w:rPr>
          <w:i/>
          <w:iCs/>
        </w:rPr>
        <w:t xml:space="preserve"> Email</w:t>
      </w:r>
    </w:p>
    <w:p w14:paraId="7FB4EB0E" w14:textId="77777777" w:rsidR="00B90A3B" w:rsidRDefault="00B90A3B" w:rsidP="007C088A">
      <w:pPr>
        <w:spacing w:after="0" w:line="240" w:lineRule="auto"/>
      </w:pPr>
    </w:p>
    <w:p w14:paraId="5AAA7956" w14:textId="6983C82D" w:rsidR="00B90A3B" w:rsidRDefault="00B90A3B" w:rsidP="007C088A">
      <w:pPr>
        <w:spacing w:after="0" w:line="240" w:lineRule="auto"/>
      </w:pPr>
      <w:r>
        <w:t>Subject:</w:t>
      </w:r>
      <w:r w:rsidR="00DF5507">
        <w:t xml:space="preserve"> </w:t>
      </w:r>
      <w:r>
        <w:t xml:space="preserve">New set of </w:t>
      </w:r>
      <w:r w:rsidR="00EE0FB5">
        <w:t xml:space="preserve">safety and health </w:t>
      </w:r>
      <w:r>
        <w:t>best practices for host employers</w:t>
      </w:r>
    </w:p>
    <w:p w14:paraId="58FDBED1" w14:textId="77777777" w:rsidR="00B90A3B" w:rsidRDefault="00B90A3B" w:rsidP="007C088A">
      <w:pPr>
        <w:spacing w:after="0" w:line="240" w:lineRule="auto"/>
      </w:pPr>
    </w:p>
    <w:p w14:paraId="198E4B51" w14:textId="53D0DBD8" w:rsidR="00B90A3B" w:rsidRPr="004431FE" w:rsidRDefault="00B90A3B" w:rsidP="007C088A">
      <w:pPr>
        <w:spacing w:after="0" w:line="240" w:lineRule="auto"/>
        <w:rPr>
          <w:b/>
          <w:bCs/>
        </w:rPr>
      </w:pPr>
      <w:r>
        <w:rPr>
          <w:b/>
          <w:bCs/>
        </w:rPr>
        <w:t>Recently released</w:t>
      </w:r>
      <w:r w:rsidRPr="004431FE">
        <w:rPr>
          <w:b/>
          <w:bCs/>
        </w:rPr>
        <w:t xml:space="preserve"> </w:t>
      </w:r>
      <w:r w:rsidR="00963FA4">
        <w:rPr>
          <w:b/>
          <w:bCs/>
        </w:rPr>
        <w:t xml:space="preserve">safety and health </w:t>
      </w:r>
      <w:r w:rsidRPr="004431FE">
        <w:rPr>
          <w:b/>
          <w:bCs/>
        </w:rPr>
        <w:t>best practices for host employers!</w:t>
      </w:r>
    </w:p>
    <w:p w14:paraId="02EC31C7" w14:textId="77777777" w:rsidR="00B90A3B" w:rsidRDefault="00B90A3B" w:rsidP="007C088A">
      <w:pPr>
        <w:spacing w:after="0" w:line="240" w:lineRule="auto"/>
      </w:pPr>
    </w:p>
    <w:p w14:paraId="022FC38C" w14:textId="1AA8F681" w:rsidR="00B90A3B" w:rsidRDefault="00B90A3B" w:rsidP="007C088A">
      <w:pPr>
        <w:spacing w:after="0" w:line="240" w:lineRule="auto"/>
      </w:pPr>
      <w:r>
        <w:t>The</w:t>
      </w:r>
      <w:r w:rsidR="00D51054">
        <w:t xml:space="preserve"> </w:t>
      </w:r>
      <w:hyperlink r:id="rId8" w:history="1">
        <w:r w:rsidR="00D51054" w:rsidRPr="00D51054">
          <w:rPr>
            <w:rStyle w:val="Hyperlink"/>
          </w:rPr>
          <w:t>National Institute for Occupational Safety and Health (NIOSH)</w:t>
        </w:r>
      </w:hyperlink>
      <w:r w:rsidR="001B71DF">
        <w:t>, which is part of the Centers for Disease Control and Prevention (CDC)—</w:t>
      </w:r>
      <w:r>
        <w:t xml:space="preserve">in partnership with </w:t>
      </w:r>
      <w:r w:rsidRPr="00311AFC">
        <w:rPr>
          <w:rFonts w:ascii="Calibri" w:hAnsi="Calibri" w:cs="Calibri"/>
        </w:rPr>
        <w:t xml:space="preserve">the American Society </w:t>
      </w:r>
      <w:r>
        <w:rPr>
          <w:rFonts w:ascii="Calibri" w:hAnsi="Calibri" w:cs="Calibri"/>
        </w:rPr>
        <w:t>of</w:t>
      </w:r>
      <w:r w:rsidRPr="00311AFC">
        <w:rPr>
          <w:rFonts w:ascii="Calibri" w:hAnsi="Calibri" w:cs="Calibri"/>
        </w:rPr>
        <w:t xml:space="preserve"> Safety Professionals,</w:t>
      </w:r>
      <w:r>
        <w:rPr>
          <w:rFonts w:ascii="Calibri" w:hAnsi="Calibri" w:cs="Calibri"/>
        </w:rPr>
        <w:t xml:space="preserve"> the</w:t>
      </w:r>
      <w:r w:rsidRPr="00311A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American Staffing Association,</w:t>
      </w:r>
      <w:r w:rsidR="001B71DF">
        <w:rPr>
          <w:rFonts w:ascii="Calibri" w:hAnsi="Calibri" w:cs="Calibri"/>
        </w:rPr>
        <w:t xml:space="preserve"> </w:t>
      </w:r>
      <w:r w:rsidR="001B71DF">
        <w:t xml:space="preserve">the </w:t>
      </w:r>
      <w:r w:rsidR="001B71DF" w:rsidRPr="001B71DF">
        <w:rPr>
          <w:rFonts w:ascii="Calibri" w:hAnsi="Calibri" w:cs="Calibri"/>
        </w:rPr>
        <w:t>National Occupational Research Agenda Services Sector Council</w:t>
      </w:r>
      <w:r w:rsidR="001B71D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</w:t>
      </w:r>
      <w:r w:rsidRPr="00311AFC">
        <w:rPr>
          <w:rFonts w:ascii="Calibri" w:hAnsi="Calibri" w:cs="Calibri"/>
        </w:rPr>
        <w:t xml:space="preserve">the Safety and Health Assessment </w:t>
      </w:r>
      <w:r>
        <w:rPr>
          <w:rFonts w:ascii="Calibri" w:hAnsi="Calibri" w:cs="Calibri"/>
        </w:rPr>
        <w:t xml:space="preserve">and </w:t>
      </w:r>
      <w:r w:rsidRPr="00311AFC">
        <w:rPr>
          <w:rFonts w:ascii="Calibri" w:hAnsi="Calibri" w:cs="Calibri"/>
        </w:rPr>
        <w:t xml:space="preserve">Research </w:t>
      </w:r>
      <w:r>
        <w:rPr>
          <w:rFonts w:ascii="Calibri" w:hAnsi="Calibri" w:cs="Calibri"/>
        </w:rPr>
        <w:t>for</w:t>
      </w:r>
      <w:r w:rsidRPr="00311AFC">
        <w:rPr>
          <w:rFonts w:ascii="Calibri" w:hAnsi="Calibri" w:cs="Calibri"/>
        </w:rPr>
        <w:t xml:space="preserve"> Prevention </w:t>
      </w:r>
      <w:r>
        <w:rPr>
          <w:rFonts w:ascii="Calibri" w:hAnsi="Calibri" w:cs="Calibri"/>
        </w:rPr>
        <w:t>P</w:t>
      </w:r>
      <w:r w:rsidRPr="00311AFC">
        <w:rPr>
          <w:rFonts w:ascii="Calibri" w:hAnsi="Calibri" w:cs="Calibri"/>
        </w:rPr>
        <w:t xml:space="preserve">rogram </w:t>
      </w:r>
      <w:r>
        <w:rPr>
          <w:rFonts w:ascii="Calibri" w:hAnsi="Calibri" w:cs="Calibri"/>
        </w:rPr>
        <w:t xml:space="preserve">within </w:t>
      </w:r>
      <w:r w:rsidRPr="00311AFC">
        <w:rPr>
          <w:rFonts w:ascii="Calibri" w:hAnsi="Calibri" w:cs="Calibri"/>
        </w:rPr>
        <w:t>Washington State</w:t>
      </w:r>
      <w:r w:rsidR="006257D7">
        <w:rPr>
          <w:rFonts w:ascii="Calibri" w:hAnsi="Calibri" w:cs="Calibri"/>
        </w:rPr>
        <w:t>’s</w:t>
      </w:r>
      <w:r w:rsidRPr="00311AFC">
        <w:rPr>
          <w:rFonts w:ascii="Calibri" w:hAnsi="Calibri" w:cs="Calibri"/>
        </w:rPr>
        <w:t xml:space="preserve"> Department of Labor and Industries</w:t>
      </w:r>
      <w:r>
        <w:rPr>
          <w:rFonts w:ascii="Calibri" w:hAnsi="Calibri" w:cs="Calibri"/>
        </w:rPr>
        <w:t>—</w:t>
      </w:r>
      <w:r>
        <w:t>ha</w:t>
      </w:r>
      <w:r w:rsidR="00D51054">
        <w:t>ve</w:t>
      </w:r>
      <w:r>
        <w:t xml:space="preserve"> released a new set of best practices, </w:t>
      </w:r>
      <w:hyperlink r:id="rId9" w:history="1">
        <w:r w:rsidRPr="00595187">
          <w:rPr>
            <w:rStyle w:val="Hyperlink"/>
            <w:i/>
            <w:iCs/>
          </w:rPr>
          <w:t>Protecting Temporary Workers: Best Practices for Host Employers</w:t>
        </w:r>
      </w:hyperlink>
      <w:r w:rsidRPr="00F43FC5">
        <w:t xml:space="preserve">, to help host employers </w:t>
      </w:r>
      <w:r w:rsidRPr="00F43FC5">
        <w:rPr>
          <w:rFonts w:ascii="Calibri" w:hAnsi="Calibri" w:cs="Calibri"/>
        </w:rPr>
        <w:t>better protect the safety and health of temporary workers</w:t>
      </w:r>
      <w:r w:rsidRPr="00F43FC5">
        <w:t xml:space="preserve">. </w:t>
      </w:r>
    </w:p>
    <w:p w14:paraId="7D6D8ED9" w14:textId="77777777" w:rsidR="00B90A3B" w:rsidRDefault="00B90A3B" w:rsidP="007C088A">
      <w:pPr>
        <w:spacing w:after="0" w:line="240" w:lineRule="auto"/>
      </w:pPr>
    </w:p>
    <w:p w14:paraId="6F0E157D" w14:textId="67121C51" w:rsidR="00B90A3B" w:rsidRPr="007316D0" w:rsidRDefault="00EE0FB5" w:rsidP="007C088A">
      <w:pPr>
        <w:spacing w:after="0" w:line="240" w:lineRule="auto"/>
      </w:pPr>
      <w:r>
        <w:t>Estimates suggest there may be as many as 16 million temporary workers</w:t>
      </w:r>
      <w:r w:rsidR="00DE319E">
        <w:t xml:space="preserve"> (i.e.,</w:t>
      </w:r>
      <w:r w:rsidR="00DE319E" w:rsidRPr="00751532">
        <w:t xml:space="preserve"> those who are paid by a staffing company and </w:t>
      </w:r>
      <w:r w:rsidR="00DE319E">
        <w:t>assigned</w:t>
      </w:r>
      <w:r w:rsidR="00DE319E" w:rsidRPr="00751532">
        <w:t xml:space="preserve"> to</w:t>
      </w:r>
      <w:r w:rsidR="00DE319E">
        <w:t xml:space="preserve"> work for</w:t>
      </w:r>
      <w:r w:rsidR="00DE319E" w:rsidRPr="00751532">
        <w:t xml:space="preserve"> a host employer</w:t>
      </w:r>
      <w:r w:rsidR="00DE319E">
        <w:t xml:space="preserve"> company) </w:t>
      </w:r>
      <w:r>
        <w:t xml:space="preserve">in the U.S. during a year. </w:t>
      </w:r>
      <w:r w:rsidR="00B90A3B">
        <w:t>R</w:t>
      </w:r>
      <w:r w:rsidR="00B90A3B" w:rsidRPr="00751532">
        <w:t xml:space="preserve">esearch shows </w:t>
      </w:r>
      <w:r w:rsidR="00B90A3B">
        <w:t xml:space="preserve">that the </w:t>
      </w:r>
      <w:r w:rsidR="00B90A3B" w:rsidRPr="00751532">
        <w:t xml:space="preserve">risk of experiencing a work-related injury </w:t>
      </w:r>
      <w:r w:rsidR="00B90A3B">
        <w:t xml:space="preserve">may be higher for </w:t>
      </w:r>
      <w:r w:rsidR="00B90A3B" w:rsidRPr="00751532">
        <w:t>temporary workers</w:t>
      </w:r>
      <w:r w:rsidR="00B90A3B">
        <w:t xml:space="preserve"> compared to </w:t>
      </w:r>
      <w:r w:rsidR="00B90A3B" w:rsidRPr="00751532">
        <w:t xml:space="preserve">non-temporary workers. </w:t>
      </w:r>
      <w:r w:rsidR="00B90A3B">
        <w:rPr>
          <w:rFonts w:ascii="Calibri" w:hAnsi="Calibri" w:cs="Calibri"/>
        </w:rPr>
        <w:t>This new resource</w:t>
      </w:r>
      <w:r w:rsidR="00B90A3B" w:rsidRPr="00A159AA">
        <w:rPr>
          <w:rFonts w:ascii="Calibri" w:hAnsi="Calibri" w:cs="Calibri"/>
        </w:rPr>
        <w:t xml:space="preserve"> provides detailed </w:t>
      </w:r>
      <w:r w:rsidR="00B90A3B">
        <w:rPr>
          <w:rFonts w:ascii="Calibri" w:hAnsi="Calibri" w:cs="Calibri"/>
        </w:rPr>
        <w:t>best</w:t>
      </w:r>
      <w:r w:rsidR="00B90A3B" w:rsidRPr="00A159AA">
        <w:rPr>
          <w:rFonts w:ascii="Calibri" w:hAnsi="Calibri" w:cs="Calibri"/>
        </w:rPr>
        <w:t xml:space="preserve"> practices for host employers</w:t>
      </w:r>
      <w:r>
        <w:rPr>
          <w:rFonts w:ascii="Calibri" w:hAnsi="Calibri" w:cs="Calibri"/>
        </w:rPr>
        <w:t xml:space="preserve"> that are</w:t>
      </w:r>
      <w:r w:rsidR="00B90A3B">
        <w:rPr>
          <w:rFonts w:ascii="Calibri" w:hAnsi="Calibri" w:cs="Calibri"/>
        </w:rPr>
        <w:t xml:space="preserve"> </w:t>
      </w:r>
      <w:r w:rsidR="00B90A3B" w:rsidRPr="00A159AA">
        <w:rPr>
          <w:rFonts w:ascii="Calibri" w:hAnsi="Calibri" w:cs="Calibri"/>
        </w:rPr>
        <w:t>applicable across industries and occupations</w:t>
      </w:r>
      <w:r>
        <w:rPr>
          <w:rFonts w:ascii="Calibri" w:hAnsi="Calibri" w:cs="Calibri"/>
        </w:rPr>
        <w:t>. It is</w:t>
      </w:r>
      <w:r w:rsidR="00B90A3B" w:rsidRPr="00A159AA">
        <w:rPr>
          <w:rFonts w:ascii="Calibri" w:hAnsi="Calibri" w:cs="Calibri"/>
        </w:rPr>
        <w:t xml:space="preserve"> organized into three areas: </w:t>
      </w:r>
    </w:p>
    <w:p w14:paraId="0A5B5A85" w14:textId="77777777" w:rsidR="00B90A3B" w:rsidRPr="00A159AA" w:rsidRDefault="00B90A3B" w:rsidP="007C088A">
      <w:pPr>
        <w:spacing w:after="0" w:line="240" w:lineRule="auto"/>
        <w:rPr>
          <w:rFonts w:ascii="Calibri" w:hAnsi="Calibri" w:cs="Calibri"/>
        </w:rPr>
      </w:pPr>
    </w:p>
    <w:p w14:paraId="6DAC4867" w14:textId="4949B069" w:rsidR="00B90A3B" w:rsidRPr="00A159AA" w:rsidRDefault="00B90A3B" w:rsidP="007C088A">
      <w:pPr>
        <w:spacing w:after="0" w:line="240" w:lineRule="auto"/>
        <w:rPr>
          <w:rFonts w:ascii="Calibri" w:hAnsi="Calibri" w:cs="Calibri"/>
        </w:rPr>
      </w:pPr>
      <w:r w:rsidRPr="00A159AA">
        <w:rPr>
          <w:rFonts w:ascii="Calibri" w:hAnsi="Calibri" w:cs="Calibri"/>
        </w:rPr>
        <w:t xml:space="preserve">1) </w:t>
      </w:r>
      <w:r w:rsidRPr="00F43FC5">
        <w:rPr>
          <w:rFonts w:ascii="Calibri" w:hAnsi="Calibri" w:cs="Calibri"/>
        </w:rPr>
        <w:t>How to evaluate and address workplace safety and health in a written contract</w:t>
      </w:r>
    </w:p>
    <w:p w14:paraId="05627814" w14:textId="2B01780C" w:rsidR="00B90A3B" w:rsidRPr="00A159AA" w:rsidRDefault="00B90A3B" w:rsidP="007C088A">
      <w:pPr>
        <w:spacing w:after="0" w:line="240" w:lineRule="auto"/>
        <w:rPr>
          <w:rFonts w:ascii="Calibri" w:hAnsi="Calibri" w:cs="Calibri"/>
        </w:rPr>
      </w:pPr>
      <w:r w:rsidRPr="00A159AA">
        <w:rPr>
          <w:rFonts w:ascii="Calibri" w:hAnsi="Calibri" w:cs="Calibri"/>
        </w:rPr>
        <w:t>2) Training for temporary workers and their worksite supervisors</w:t>
      </w:r>
    </w:p>
    <w:p w14:paraId="2DA55708" w14:textId="72673E45" w:rsidR="00B90A3B" w:rsidRPr="00A159AA" w:rsidRDefault="00B90A3B" w:rsidP="007C088A">
      <w:pPr>
        <w:spacing w:after="0" w:line="240" w:lineRule="auto"/>
        <w:rPr>
          <w:rFonts w:ascii="Calibri" w:hAnsi="Calibri" w:cs="Calibri"/>
        </w:rPr>
      </w:pPr>
      <w:r w:rsidRPr="00A159AA">
        <w:rPr>
          <w:rFonts w:ascii="Calibri" w:hAnsi="Calibri" w:cs="Calibri"/>
        </w:rPr>
        <w:t>3) Injury and illness reporting, response, and recordkeeping</w:t>
      </w:r>
      <w:r w:rsidRPr="00A159AA">
        <w:rPr>
          <w:rFonts w:ascii="Calibri" w:hAnsi="Calibri" w:cs="Calibri"/>
        </w:rPr>
        <w:br/>
      </w:r>
    </w:p>
    <w:p w14:paraId="3B08977D" w14:textId="0ED54E06" w:rsidR="00B90A3B" w:rsidRPr="00A159AA" w:rsidRDefault="00B90A3B" w:rsidP="007C088A">
      <w:pPr>
        <w:spacing w:after="0" w:line="240" w:lineRule="auto"/>
        <w:rPr>
          <w:rFonts w:ascii="Calibri" w:hAnsi="Calibri" w:cs="Calibri"/>
        </w:rPr>
      </w:pPr>
      <w:r w:rsidRPr="00A159AA">
        <w:rPr>
          <w:rFonts w:ascii="Calibri" w:hAnsi="Calibri" w:cs="Calibri"/>
        </w:rPr>
        <w:t xml:space="preserve">The document also includes scenarios of how </w:t>
      </w:r>
      <w:r>
        <w:rPr>
          <w:rFonts w:ascii="Calibri" w:hAnsi="Calibri" w:cs="Calibri"/>
        </w:rPr>
        <w:t xml:space="preserve">host </w:t>
      </w:r>
      <w:r w:rsidRPr="00A159AA">
        <w:rPr>
          <w:rFonts w:ascii="Calibri" w:hAnsi="Calibri" w:cs="Calibri"/>
        </w:rPr>
        <w:t xml:space="preserve">employers </w:t>
      </w:r>
      <w:r w:rsidR="00EE0FB5">
        <w:rPr>
          <w:rFonts w:ascii="Calibri" w:hAnsi="Calibri" w:cs="Calibri"/>
        </w:rPr>
        <w:t>can</w:t>
      </w:r>
      <w:r w:rsidR="00EE0FB5" w:rsidRPr="00A159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implement</w:t>
      </w:r>
      <w:r w:rsidRPr="00A159AA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>best</w:t>
      </w:r>
      <w:r w:rsidRPr="00A159AA">
        <w:rPr>
          <w:rFonts w:ascii="Calibri" w:hAnsi="Calibri" w:cs="Calibri"/>
        </w:rPr>
        <w:t xml:space="preserve"> practices</w:t>
      </w:r>
      <w:r>
        <w:rPr>
          <w:rFonts w:ascii="Calibri" w:hAnsi="Calibri" w:cs="Calibri"/>
        </w:rPr>
        <w:t xml:space="preserve"> as well as </w:t>
      </w:r>
      <w:hyperlink r:id="rId10" w:history="1">
        <w:r w:rsidRPr="00DE319E">
          <w:rPr>
            <w:rStyle w:val="Hyperlink"/>
            <w:rFonts w:ascii="Calibri" w:hAnsi="Calibri" w:cs="Calibri"/>
          </w:rPr>
          <w:t>checklists</w:t>
        </w:r>
      </w:hyperlink>
      <w:r>
        <w:rPr>
          <w:rFonts w:ascii="Calibri" w:hAnsi="Calibri" w:cs="Calibri"/>
        </w:rPr>
        <w:t xml:space="preserve"> that can be printed or completed electronically</w:t>
      </w:r>
      <w:r w:rsidRPr="00A159A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There is also a complementary </w:t>
      </w:r>
      <w:hyperlink r:id="rId11" w:history="1">
        <w:r w:rsidR="00DE52F5" w:rsidRPr="00DE319E">
          <w:rPr>
            <w:rStyle w:val="Hyperlink"/>
            <w:rFonts w:ascii="Calibri" w:hAnsi="Calibri" w:cs="Calibri"/>
          </w:rPr>
          <w:t>slide deck</w:t>
        </w:r>
      </w:hyperlink>
      <w:r>
        <w:rPr>
          <w:rFonts w:ascii="Calibri" w:hAnsi="Calibri" w:cs="Calibri"/>
        </w:rPr>
        <w:t xml:space="preserve"> staffing companies can use to educate their host employer clients about the best practices.</w:t>
      </w:r>
    </w:p>
    <w:p w14:paraId="53A8581F" w14:textId="77777777" w:rsidR="00B90A3B" w:rsidRDefault="00B90A3B" w:rsidP="007C088A">
      <w:pPr>
        <w:spacing w:after="0" w:line="240" w:lineRule="auto"/>
        <w:rPr>
          <w:rFonts w:ascii="Calibri" w:hAnsi="Calibri" w:cs="Calibri"/>
        </w:rPr>
      </w:pPr>
    </w:p>
    <w:p w14:paraId="7C498290" w14:textId="0C40FB39" w:rsidR="00B90A3B" w:rsidRDefault="00B90A3B" w:rsidP="007C088A">
      <w:pPr>
        <w:spacing w:after="0" w:line="240" w:lineRule="auto"/>
      </w:pPr>
      <w:r>
        <w:t xml:space="preserve">In 2013, the Occupational Safety and Health Administration (OSHA) launched its </w:t>
      </w:r>
      <w:hyperlink r:id="rId12" w:history="1">
        <w:r w:rsidRPr="00BE622C">
          <w:rPr>
            <w:rStyle w:val="Hyperlink"/>
          </w:rPr>
          <w:t>Temporary Worker Initiative</w:t>
        </w:r>
      </w:hyperlink>
      <w:r>
        <w:t xml:space="preserve"> in response to increasing reports of temporary workers suffering serious or fatal injuries, some even in their first days on the job. The </w:t>
      </w:r>
      <w:r w:rsidRPr="00BE622C">
        <w:t>OSHA Temporary Worker Initiative</w:t>
      </w:r>
      <w:r>
        <w:t xml:space="preserve"> has issued numerous guidance documents outlining the joint safety and health responsibilities of staffing companies and host employers. This new </w:t>
      </w:r>
      <w:r w:rsidR="00EE0FB5">
        <w:t xml:space="preserve">resource </w:t>
      </w:r>
      <w:r>
        <w:t>builds on th</w:t>
      </w:r>
      <w:r w:rsidR="00EE0FB5">
        <w:t xml:space="preserve">is work </w:t>
      </w:r>
      <w:r>
        <w:t>by providing an in-depth set of best practices for host employers to follow</w:t>
      </w:r>
      <w:r w:rsidR="00EE0FB5">
        <w:t xml:space="preserve"> and supporting materials to facilitate their implementation</w:t>
      </w:r>
      <w:r>
        <w:t>.</w:t>
      </w:r>
    </w:p>
    <w:p w14:paraId="2B22BE55" w14:textId="77777777" w:rsidR="00B90A3B" w:rsidRDefault="00B90A3B" w:rsidP="007C088A">
      <w:pPr>
        <w:spacing w:after="0" w:line="240" w:lineRule="auto"/>
        <w:rPr>
          <w:rFonts w:ascii="Calibri" w:hAnsi="Calibri" w:cs="Calibri"/>
        </w:rPr>
      </w:pPr>
    </w:p>
    <w:p w14:paraId="587E2A16" w14:textId="0E125AE0" w:rsidR="00814D17" w:rsidRDefault="00814D17" w:rsidP="007C088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feel free to share this new resource among your networks</w:t>
      </w:r>
      <w:r w:rsidR="00595187">
        <w:rPr>
          <w:rFonts w:ascii="Calibri" w:hAnsi="Calibri" w:cs="Calibri"/>
        </w:rPr>
        <w:t xml:space="preserve">. You can find a dissemination toolkit for the document—including </w:t>
      </w:r>
      <w:r>
        <w:rPr>
          <w:rFonts w:ascii="Calibri" w:hAnsi="Calibri" w:cs="Calibri"/>
        </w:rPr>
        <w:t>a draft email, a flyer, and some social media</w:t>
      </w:r>
      <w:r w:rsidR="001B71DF">
        <w:rPr>
          <w:rFonts w:ascii="Calibri" w:hAnsi="Calibri" w:cs="Calibri"/>
        </w:rPr>
        <w:t xml:space="preserve"> messages</w:t>
      </w:r>
      <w:r w:rsidR="00595187">
        <w:rPr>
          <w:rFonts w:ascii="Calibri" w:hAnsi="Calibri" w:cs="Calibri"/>
        </w:rPr>
        <w:t xml:space="preserve">—on the </w:t>
      </w:r>
      <w:hyperlink r:id="rId13" w:history="1">
        <w:r w:rsidR="00595187" w:rsidRPr="003076F4">
          <w:rPr>
            <w:rStyle w:val="Hyperlink"/>
            <w:rFonts w:ascii="Calibri" w:hAnsi="Calibri" w:cs="Calibri"/>
          </w:rPr>
          <w:t>document home page</w:t>
        </w:r>
      </w:hyperlink>
      <w:r>
        <w:rPr>
          <w:rFonts w:ascii="Calibri" w:hAnsi="Calibri" w:cs="Calibri"/>
        </w:rPr>
        <w:t xml:space="preserve">. </w:t>
      </w:r>
    </w:p>
    <w:p w14:paraId="36F25CB5" w14:textId="77777777" w:rsidR="00B90A3B" w:rsidRDefault="00B90A3B" w:rsidP="007C088A">
      <w:pPr>
        <w:spacing w:after="0" w:line="240" w:lineRule="auto"/>
        <w:rPr>
          <w:rFonts w:ascii="Calibri" w:hAnsi="Calibri" w:cs="Calibri"/>
        </w:rPr>
      </w:pPr>
    </w:p>
    <w:p w14:paraId="68FE362C" w14:textId="77777777" w:rsidR="00814D17" w:rsidRDefault="00814D17" w:rsidP="007C088A">
      <w:pPr>
        <w:spacing w:after="0" w:line="240" w:lineRule="auto"/>
        <w:rPr>
          <w:rStyle w:val="Hyperlink"/>
          <w:rFonts w:ascii="Calibri" w:hAnsi="Calibri" w:cs="Calibri"/>
        </w:rPr>
      </w:pPr>
      <w:bookmarkStart w:id="0" w:name="_Hlk101885375"/>
      <w:r w:rsidRPr="00311AFC">
        <w:rPr>
          <w:rFonts w:ascii="Calibri" w:hAnsi="Calibri" w:cs="Calibri"/>
        </w:rPr>
        <w:t xml:space="preserve">If you </w:t>
      </w:r>
      <w:r>
        <w:rPr>
          <w:rFonts w:ascii="Calibri" w:hAnsi="Calibri" w:cs="Calibri"/>
        </w:rPr>
        <w:t xml:space="preserve">have questions or </w:t>
      </w:r>
      <w:r w:rsidRPr="00311AFC">
        <w:rPr>
          <w:rFonts w:ascii="Calibri" w:hAnsi="Calibri" w:cs="Calibri"/>
        </w:rPr>
        <w:t>need more info</w:t>
      </w:r>
      <w:r>
        <w:rPr>
          <w:rFonts w:ascii="Calibri" w:hAnsi="Calibri" w:cs="Calibri"/>
        </w:rPr>
        <w:t>rmation</w:t>
      </w:r>
      <w:r w:rsidRPr="00311AF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please contact the NORA Coordinator at </w:t>
      </w:r>
      <w:hyperlink r:id="rId14" w:history="1">
        <w:r w:rsidRPr="00A012EA">
          <w:rPr>
            <w:rStyle w:val="Hyperlink"/>
            <w:rFonts w:ascii="Calibri" w:hAnsi="Calibri" w:cs="Calibri"/>
          </w:rPr>
          <w:t>NORACoordinator@cdc.gov</w:t>
        </w:r>
      </w:hyperlink>
      <w:r>
        <w:rPr>
          <w:rFonts w:ascii="Calibri" w:hAnsi="Calibri" w:cs="Calibri"/>
        </w:rPr>
        <w:t xml:space="preserve">. </w:t>
      </w:r>
    </w:p>
    <w:bookmarkEnd w:id="0"/>
    <w:p w14:paraId="1EC6D39A" w14:textId="77777777" w:rsidR="00DC328F" w:rsidRDefault="007A3047"/>
    <w:sectPr w:rsidR="00DC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EF81" w14:textId="77777777" w:rsidR="00B90A3B" w:rsidRDefault="00B90A3B" w:rsidP="00B90A3B">
      <w:pPr>
        <w:spacing w:after="0" w:line="240" w:lineRule="auto"/>
      </w:pPr>
      <w:r>
        <w:separator/>
      </w:r>
    </w:p>
  </w:endnote>
  <w:endnote w:type="continuationSeparator" w:id="0">
    <w:p w14:paraId="53502E56" w14:textId="77777777" w:rsidR="00B90A3B" w:rsidRDefault="00B90A3B" w:rsidP="00B9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3F78" w14:textId="77777777" w:rsidR="00B90A3B" w:rsidRDefault="00B90A3B" w:rsidP="00B90A3B">
      <w:pPr>
        <w:spacing w:after="0" w:line="240" w:lineRule="auto"/>
      </w:pPr>
      <w:r>
        <w:separator/>
      </w:r>
    </w:p>
  </w:footnote>
  <w:footnote w:type="continuationSeparator" w:id="0">
    <w:p w14:paraId="4CFD190C" w14:textId="77777777" w:rsidR="00B90A3B" w:rsidRDefault="00B90A3B" w:rsidP="00B90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B"/>
    <w:rsid w:val="00066EE6"/>
    <w:rsid w:val="001B71DF"/>
    <w:rsid w:val="003076F4"/>
    <w:rsid w:val="004953B2"/>
    <w:rsid w:val="004C6D26"/>
    <w:rsid w:val="00595187"/>
    <w:rsid w:val="005D2B90"/>
    <w:rsid w:val="006257D7"/>
    <w:rsid w:val="007A3047"/>
    <w:rsid w:val="007C088A"/>
    <w:rsid w:val="00814D17"/>
    <w:rsid w:val="008E074A"/>
    <w:rsid w:val="00963FA4"/>
    <w:rsid w:val="00B87F72"/>
    <w:rsid w:val="00B90A3B"/>
    <w:rsid w:val="00D51054"/>
    <w:rsid w:val="00DE319E"/>
    <w:rsid w:val="00DE52F5"/>
    <w:rsid w:val="00DF5507"/>
    <w:rsid w:val="00E47955"/>
    <w:rsid w:val="00EE0FB5"/>
    <w:rsid w:val="00F01D9C"/>
    <w:rsid w:val="00F828DE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79694"/>
  <w15:chartTrackingRefBased/>
  <w15:docId w15:val="{E9B3A700-40BE-4712-852E-C733718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A3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A3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6D2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iosh/index.htm" TargetMode="External"/><Relationship Id="rId13" Type="http://schemas.openxmlformats.org/officeDocument/2006/relationships/hyperlink" Target="https://www.cdc.gov/nora/councils/serv/protectingtemporaryworkers/host-employers.html?s_cid=3ni7d2-DToolkit-flyer_PTW_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ha.gov/temporarywork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nora/councils/serv/protectingtemporaryworkers/docs/NORA-HE-Doc-Slide-Deck-for-Staffing-Companies_final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niosh/docs/2022-126/2022-126_Checklists_5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ora/councils/serv/protectingtemporaryworkers/host-employers.html?s_cid=3ni7d2-DToolkit-email_PTW_2022" TargetMode="External"/><Relationship Id="rId14" Type="http://schemas.openxmlformats.org/officeDocument/2006/relationships/hyperlink" Target="mailto:NORACoordinator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59396E474A468FC55D04381A8D09" ma:contentTypeVersion="4" ma:contentTypeDescription="Create a new document." ma:contentTypeScope="" ma:versionID="c070e9bd357b528697ce78143defff86">
  <xsd:schema xmlns:xsd="http://www.w3.org/2001/XMLSchema" xmlns:xs="http://www.w3.org/2001/XMLSchema" xmlns:p="http://schemas.microsoft.com/office/2006/metadata/properties" xmlns:ns2="577c2668-6431-41a3-a3b7-a5f3ee82b7a6" xmlns:ns3="d5dfb2cc-80b4-48f7-a123-69e932179ba4" targetNamespace="http://schemas.microsoft.com/office/2006/metadata/properties" ma:root="true" ma:fieldsID="9e7b144689d0811c306c87cb08cd7394" ns2:_="" ns3:_="">
    <xsd:import namespace="577c2668-6431-41a3-a3b7-a5f3ee82b7a6"/>
    <xsd:import namespace="d5dfb2cc-80b4-48f7-a123-69e932179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2668-6431-41a3-a3b7-a5f3ee82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b2cc-80b4-48f7-a123-69e932179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10FD0-B68F-4C2D-BE0F-28968013D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A5E8E-4137-490A-A2BB-83D7F3757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2668-6431-41a3-a3b7-a5f3ee82b7a6"/>
    <ds:schemaRef ds:uri="d5dfb2cc-80b4-48f7-a123-69e932179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Menger-Ogle, Lauren (CDC/NIOSH/DSI/SSTRB) (CTR)</dc:creator>
  <cp:keywords/>
  <dc:description/>
  <cp:lastModifiedBy>Marra, Steven (CDC/NIOSH/OD/ODDM) (CTR)</cp:lastModifiedBy>
  <cp:revision>2</cp:revision>
  <dcterms:created xsi:type="dcterms:W3CDTF">2022-12-20T19:22:00Z</dcterms:created>
  <dcterms:modified xsi:type="dcterms:W3CDTF">2022-12-20T19:22:00Z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2022-04-26T22:54:29Z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b50271ea-14d1-4966-be47-d8eb3aef95d4</vt:lpwstr>
  </property>
  <property fmtid="{D5CDD505-2E9C-101B-9397-08002B2CF9AE}" pid="8" name="MSIP_Label_7b94a7b8-f06c-4dfe-bdcc-9b548fd58c31_ContentBits">
    <vt:lpwstr>0</vt:lpwstr>
  </property>
</Properties>
</file>