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36B49" w14:textId="18FF5BE5" w:rsidR="004B7AC2" w:rsidRDefault="004B7AC2" w:rsidP="003E7164">
      <w:pPr>
        <w:rPr>
          <w:lang w:val="en"/>
        </w:rPr>
      </w:pPr>
      <w:bookmarkStart w:id="0" w:name="_Hlk25313647"/>
      <w:r w:rsidRPr="004B7AC2">
        <w:t>Optimization of Aspergillus versicolor culture and aerosolization in a murine model of inhalational fungal exposure</w:t>
      </w:r>
      <w:r>
        <w:rPr>
          <w:lang w:val="en"/>
        </w:rPr>
        <w:t>_dataset</w:t>
      </w:r>
    </w:p>
    <w:p w14:paraId="1775177E" w14:textId="48938D89" w:rsidR="00F21872" w:rsidRPr="003E7164" w:rsidRDefault="00F21872" w:rsidP="003E7164">
      <w:r>
        <w:rPr>
          <w:lang w:val="en"/>
        </w:rPr>
        <w:t>RD-1078-2023-0</w:t>
      </w:r>
    </w:p>
    <w:bookmarkEnd w:id="0"/>
    <w:p w14:paraId="08B68FA1" w14:textId="04BAED2A" w:rsidR="002A5BE7" w:rsidRPr="00261986" w:rsidRDefault="002616D7" w:rsidP="00964C63">
      <w:pPr>
        <w:pStyle w:val="Heading1"/>
      </w:pPr>
      <w:r>
        <w:t>Introduction</w:t>
      </w:r>
    </w:p>
    <w:p w14:paraId="6470E30A" w14:textId="77777777" w:rsidR="00964C63" w:rsidRPr="00964C63" w:rsidRDefault="00964C63" w:rsidP="00964C63">
      <w:r w:rsidRPr="00964C63">
        <w:rPr>
          <w:i/>
          <w:iCs/>
        </w:rPr>
        <w:t>Aspergillus versicolor</w:t>
      </w:r>
      <w:r w:rsidRPr="00964C63">
        <w:t xml:space="preserve"> is ubiquitous in the environment and is particularly abundant in damp indoor spaces. Exposure to Aspergillus species, as well as other environmental fungi, has been linked to adverse health outcomes including asthma, allergy, and even local or disseminated infection. However, the pulmonary immunological mechanisms associated with repeated exposure to </w:t>
      </w:r>
      <w:r w:rsidRPr="00964C63">
        <w:rPr>
          <w:i/>
          <w:iCs/>
        </w:rPr>
        <w:t>A. versicolor</w:t>
      </w:r>
      <w:r w:rsidRPr="00964C63">
        <w:t xml:space="preserve"> have remained relatively uncharacterized. Here</w:t>
      </w:r>
      <w:r w:rsidRPr="00964C63">
        <w:rPr>
          <w:i/>
          <w:iCs/>
        </w:rPr>
        <w:t>, A. versicolor</w:t>
      </w:r>
      <w:r w:rsidRPr="00964C63">
        <w:t xml:space="preserve"> was cultured and desiccated on rice, then placed in an acoustical generator system to achieve aerosolization. Mice were challenged with titrated doses of aerosolized conidia to examine deposition, lymphoproliferative properties, and then the immunotoxicological response to repeated inhalation exposures. The necessary dose to induce lymphoproliferation, but not infection-like pathology, was identified. Further, it was determined that the dose was able to initiate localized immune responses. The data presented in this study demonstrate an optimized and reproducible method for delivering </w:t>
      </w:r>
      <w:r w:rsidRPr="00964C63">
        <w:rPr>
          <w:i/>
          <w:iCs/>
        </w:rPr>
        <w:t>A. versicolor</w:t>
      </w:r>
      <w:r w:rsidRPr="00964C63">
        <w:t xml:space="preserve"> conidia to rodents via nose-only inhalation. Additionally, the feasibility of a long-term repeated exposure study was established.  This experimental protocol can be used in future studies to investigate physiological effects of repeated pulmonary exposure to fungal conidia utilizing a practical and relevant mode of delivery. In total, these data constitute an important foundation for subsequent research in the field. </w:t>
      </w:r>
    </w:p>
    <w:p w14:paraId="01DE650A" w14:textId="43493DA3" w:rsidR="00284D50" w:rsidRPr="00964C63" w:rsidRDefault="00A221D0" w:rsidP="00964C63">
      <w:pPr>
        <w:pStyle w:val="Heading1"/>
      </w:pPr>
      <w:r>
        <w:t>Methods</w:t>
      </w:r>
    </w:p>
    <w:p w14:paraId="237BF336" w14:textId="1E8B5711" w:rsidR="00A221D0" w:rsidRDefault="00A221D0" w:rsidP="00964C63">
      <w:pPr>
        <w:pStyle w:val="ListParagraph"/>
        <w:numPr>
          <w:ilvl w:val="0"/>
          <w:numId w:val="13"/>
        </w:numPr>
        <w:rPr>
          <w:lang w:val="en"/>
        </w:rPr>
      </w:pPr>
      <w:r w:rsidRPr="00B621BE">
        <w:rPr>
          <w:lang w:val="en"/>
        </w:rPr>
        <w:t>Fungal cultivation and sample preparation</w:t>
      </w:r>
    </w:p>
    <w:p w14:paraId="6297EFA2" w14:textId="222CF2C7" w:rsidR="00964C63" w:rsidRPr="00964C63" w:rsidRDefault="00964C63" w:rsidP="00964C63">
      <w:pPr>
        <w:pStyle w:val="ListParagraph"/>
        <w:numPr>
          <w:ilvl w:val="1"/>
          <w:numId w:val="13"/>
        </w:numPr>
        <w:rPr>
          <w:lang w:val="en"/>
        </w:rPr>
      </w:pPr>
      <w:r w:rsidRPr="003370CC">
        <w:rPr>
          <w:i/>
        </w:rPr>
        <w:t xml:space="preserve">Aspergillus versicolor (Vuillemin) Tiraboschi, </w:t>
      </w:r>
      <w:r w:rsidRPr="003370CC">
        <w:t>ATCC 9577 was inoculated onto</w:t>
      </w:r>
      <w:r>
        <w:t xml:space="preserve"> </w:t>
      </w:r>
      <w:r w:rsidR="00422986">
        <w:t xml:space="preserve">sterile </w:t>
      </w:r>
      <w:r w:rsidR="00422986" w:rsidRPr="003370CC">
        <w:t>Malt</w:t>
      </w:r>
      <w:r w:rsidRPr="003370CC">
        <w:t xml:space="preserve"> Extract Agar (MEA) using a sterile inoculating loop and incubated at 23</w:t>
      </w:r>
      <w:r w:rsidR="004B7AC2">
        <w:t xml:space="preserve"> </w:t>
      </w:r>
      <w:r w:rsidRPr="003370CC">
        <w:t>˚C with 98% humidity for 7 days.</w:t>
      </w:r>
      <w:r>
        <w:t xml:space="preserve"> </w:t>
      </w:r>
    </w:p>
    <w:p w14:paraId="48470F40" w14:textId="5A59963A" w:rsidR="00964C63" w:rsidRPr="00964C63" w:rsidRDefault="00964C63" w:rsidP="00964C63">
      <w:pPr>
        <w:pStyle w:val="ListParagraph"/>
        <w:numPr>
          <w:ilvl w:val="1"/>
          <w:numId w:val="13"/>
        </w:numPr>
        <w:rPr>
          <w:lang w:val="en"/>
        </w:rPr>
      </w:pPr>
      <w:r w:rsidRPr="003370CC">
        <w:t>Conidia were recovered from the MEA with a sterile inoculating loop in sterile distilled water and diluted to a concentration of 2.5x10</w:t>
      </w:r>
      <w:r w:rsidRPr="003370CC">
        <w:rPr>
          <w:vertAlign w:val="superscript"/>
        </w:rPr>
        <w:t xml:space="preserve">6 </w:t>
      </w:r>
      <w:r w:rsidRPr="003370CC">
        <w:t>conidia/ml in 5</w:t>
      </w:r>
      <w:r w:rsidR="004B7AC2">
        <w:t xml:space="preserve"> </w:t>
      </w:r>
      <w:r w:rsidRPr="003370CC">
        <w:t xml:space="preserve">ml. </w:t>
      </w:r>
    </w:p>
    <w:p w14:paraId="656611DF" w14:textId="448CC685" w:rsidR="00964C63" w:rsidRPr="00964C63" w:rsidRDefault="00964C63" w:rsidP="00964C63">
      <w:pPr>
        <w:pStyle w:val="ListParagraph"/>
        <w:numPr>
          <w:ilvl w:val="1"/>
          <w:numId w:val="13"/>
        </w:numPr>
        <w:rPr>
          <w:lang w:val="en"/>
        </w:rPr>
      </w:pPr>
      <w:r w:rsidRPr="003370CC">
        <w:t>The suspension of conidia was then inoculated onto 10</w:t>
      </w:r>
      <w:r w:rsidR="004B7AC2">
        <w:t xml:space="preserve"> </w:t>
      </w:r>
      <w:r w:rsidRPr="003370CC">
        <w:t>g of autoclaved (132˚C for 30min) Mahatma white rice (Riviana Foods Inc., Houston, TX, USA) in 100mm petri dishes and grown at 23</w:t>
      </w:r>
      <w:r w:rsidR="004B7AC2">
        <w:t xml:space="preserve"> </w:t>
      </w:r>
      <w:r w:rsidRPr="003370CC">
        <w:t xml:space="preserve">˚C, 98% humidity for 7-10 </w:t>
      </w:r>
      <w:r w:rsidR="00422986" w:rsidRPr="003370CC">
        <w:t>days.</w:t>
      </w:r>
    </w:p>
    <w:p w14:paraId="06BD1127" w14:textId="45CA81C6" w:rsidR="00964C63" w:rsidRPr="00964C63" w:rsidRDefault="00964C63" w:rsidP="00964C63">
      <w:pPr>
        <w:pStyle w:val="ListParagraph"/>
        <w:numPr>
          <w:ilvl w:val="1"/>
          <w:numId w:val="13"/>
        </w:numPr>
        <w:rPr>
          <w:lang w:val="en"/>
        </w:rPr>
      </w:pPr>
      <w:r>
        <w:t>Heat-inactivated</w:t>
      </w:r>
      <w:r w:rsidRPr="003370CC">
        <w:rPr>
          <w:i/>
        </w:rPr>
        <w:t xml:space="preserve"> </w:t>
      </w:r>
      <w:r w:rsidRPr="003370CC">
        <w:rPr>
          <w:i/>
          <w:iCs/>
        </w:rPr>
        <w:t>A. versicolor</w:t>
      </w:r>
      <w:r w:rsidRPr="003370CC">
        <w:t xml:space="preserve"> conidia were used throughout these studies as a biological particle control. Rice cultures were baked</w:t>
      </w:r>
      <w:r w:rsidRPr="003370CC">
        <w:rPr>
          <w:i/>
        </w:rPr>
        <w:t xml:space="preserve"> </w:t>
      </w:r>
      <w:r w:rsidRPr="003370CC">
        <w:t>in a laboratory oven (</w:t>
      </w:r>
      <w:r w:rsidRPr="003370CC">
        <w:rPr>
          <w:lang w:val="en"/>
        </w:rPr>
        <w:t>Thermo Fisher, Waltham, MA, USA)</w:t>
      </w:r>
      <w:r w:rsidRPr="003370CC">
        <w:t xml:space="preserve"> at 80</w:t>
      </w:r>
      <w:r w:rsidR="004B7AC2">
        <w:t xml:space="preserve"> </w:t>
      </w:r>
      <w:r w:rsidRPr="003370CC">
        <w:t xml:space="preserve">˚C for 4 hours to </w:t>
      </w:r>
      <w:r>
        <w:t xml:space="preserve">produce heat-inactivated </w:t>
      </w:r>
      <w:r>
        <w:rPr>
          <w:i/>
          <w:iCs/>
        </w:rPr>
        <w:t>A. versicolor</w:t>
      </w:r>
      <w:r>
        <w:t xml:space="preserve"> conidia. </w:t>
      </w:r>
    </w:p>
    <w:p w14:paraId="402D277E" w14:textId="77777777" w:rsidR="00964C63" w:rsidRPr="00964C63" w:rsidRDefault="00964C63" w:rsidP="00964C63">
      <w:pPr>
        <w:pStyle w:val="ListParagraph"/>
        <w:numPr>
          <w:ilvl w:val="1"/>
          <w:numId w:val="13"/>
        </w:numPr>
        <w:rPr>
          <w:lang w:val="en"/>
        </w:rPr>
      </w:pPr>
      <w:r w:rsidRPr="003370CC">
        <w:lastRenderedPageBreak/>
        <w:t xml:space="preserve">Viability was tested by plating 100 viable or </w:t>
      </w:r>
      <w:r>
        <w:t>heat-inactivated</w:t>
      </w:r>
      <w:r w:rsidRPr="003370CC">
        <w:rPr>
          <w:i/>
        </w:rPr>
        <w:t xml:space="preserve"> A. versicolor</w:t>
      </w:r>
      <w:r w:rsidRPr="003370CC">
        <w:t xml:space="preserve"> spores on MEA plates and counting colony growth after 72 hours. </w:t>
      </w:r>
    </w:p>
    <w:p w14:paraId="2CB8C517" w14:textId="1E47B666" w:rsidR="00964C63" w:rsidRPr="00B621BE" w:rsidRDefault="00964C63" w:rsidP="00964C63">
      <w:pPr>
        <w:pStyle w:val="ListParagraph"/>
        <w:numPr>
          <w:ilvl w:val="1"/>
          <w:numId w:val="13"/>
        </w:numPr>
        <w:rPr>
          <w:lang w:val="en"/>
        </w:rPr>
      </w:pPr>
      <w:r w:rsidRPr="003370CC">
        <w:t xml:space="preserve">Viable and </w:t>
      </w:r>
      <w:r>
        <w:t>heat-inactivated</w:t>
      </w:r>
      <w:r w:rsidRPr="003370CC">
        <w:rPr>
          <w:i/>
        </w:rPr>
        <w:t xml:space="preserve"> A. versicolor</w:t>
      </w:r>
      <w:r w:rsidRPr="003370CC">
        <w:t xml:space="preserve"> rice cultures were desiccated in vacuum-sealed chambers for 3-5 days or 7-10 days where noted.</w:t>
      </w:r>
    </w:p>
    <w:p w14:paraId="4FC3667D" w14:textId="3DE60D5F" w:rsidR="00A221D0" w:rsidRDefault="00A221D0" w:rsidP="00964C63">
      <w:pPr>
        <w:pStyle w:val="ListParagraph"/>
        <w:numPr>
          <w:ilvl w:val="0"/>
          <w:numId w:val="13"/>
        </w:numPr>
        <w:rPr>
          <w:lang w:val="en"/>
        </w:rPr>
      </w:pPr>
      <w:r w:rsidRPr="00B621BE">
        <w:rPr>
          <w:lang w:val="en"/>
        </w:rPr>
        <w:t>Animal Exposures</w:t>
      </w:r>
    </w:p>
    <w:p w14:paraId="3D9BD8A4" w14:textId="75DA2B5E" w:rsidR="006E76EF" w:rsidRPr="00B621BE" w:rsidRDefault="006E76EF" w:rsidP="006E76EF">
      <w:pPr>
        <w:pStyle w:val="ListParagraph"/>
        <w:numPr>
          <w:ilvl w:val="1"/>
          <w:numId w:val="13"/>
        </w:numPr>
        <w:rPr>
          <w:lang w:val="en"/>
        </w:rPr>
      </w:pPr>
      <w:r>
        <w:rPr>
          <w:lang w:val="en"/>
        </w:rPr>
        <w:t>Animals were exposed in nose-only inhalation chambers, for up to an hour at a time. The total number of exposures and timeline of exposures was unique for each assay listed below.</w:t>
      </w:r>
    </w:p>
    <w:p w14:paraId="7EE258BC" w14:textId="5E025824" w:rsidR="00964C63" w:rsidRDefault="00964C63" w:rsidP="006E76EF">
      <w:pPr>
        <w:pStyle w:val="ListParagraph"/>
        <w:numPr>
          <w:ilvl w:val="2"/>
          <w:numId w:val="13"/>
        </w:numPr>
        <w:rPr>
          <w:lang w:val="en"/>
        </w:rPr>
      </w:pPr>
      <w:r>
        <w:rPr>
          <w:lang w:val="en"/>
        </w:rPr>
        <w:t>Conidia deposition studies</w:t>
      </w:r>
      <w:r w:rsidR="006E76EF">
        <w:rPr>
          <w:lang w:val="en"/>
        </w:rPr>
        <w:t xml:space="preserve">: </w:t>
      </w:r>
      <w:r w:rsidR="006E76EF" w:rsidRPr="003370CC">
        <w:t>C57BL/6 mice were exposed to either HEPA-filtered air, viable</w:t>
      </w:r>
      <w:r w:rsidR="006E76EF" w:rsidRPr="003370CC">
        <w:rPr>
          <w:i/>
        </w:rPr>
        <w:t xml:space="preserve"> A. versicolor </w:t>
      </w:r>
      <w:r w:rsidR="006E76EF" w:rsidRPr="003370CC">
        <w:t xml:space="preserve">conidia </w:t>
      </w:r>
      <w:r w:rsidR="006E76EF">
        <w:t xml:space="preserve">resulting in an estimated </w:t>
      </w:r>
      <w:r w:rsidR="006E76EF" w:rsidRPr="003370CC">
        <w:t>(1x10</w:t>
      </w:r>
      <w:r w:rsidR="006E76EF" w:rsidRPr="003370CC">
        <w:rPr>
          <w:vertAlign w:val="superscript"/>
        </w:rPr>
        <w:t>5</w:t>
      </w:r>
      <w:r w:rsidR="006E76EF" w:rsidRPr="003370CC">
        <w:t>), or</w:t>
      </w:r>
      <w:r w:rsidR="006E76EF" w:rsidRPr="003370CC">
        <w:rPr>
          <w:i/>
        </w:rPr>
        <w:t xml:space="preserve"> </w:t>
      </w:r>
      <w:r w:rsidR="006E76EF">
        <w:t>heat-inactivated</w:t>
      </w:r>
      <w:r w:rsidR="006E76EF" w:rsidRPr="003370CC">
        <w:rPr>
          <w:i/>
        </w:rPr>
        <w:t xml:space="preserve"> A. versicolor </w:t>
      </w:r>
      <w:r w:rsidR="006E76EF" w:rsidRPr="003370CC">
        <w:t>conidia (3.4x10</w:t>
      </w:r>
      <w:r w:rsidR="006E76EF" w:rsidRPr="003370CC">
        <w:rPr>
          <w:vertAlign w:val="superscript"/>
        </w:rPr>
        <w:t>4</w:t>
      </w:r>
      <w:r w:rsidR="006E76EF" w:rsidRPr="003370CC">
        <w:t>)</w:t>
      </w:r>
      <w:r w:rsidR="006E76EF">
        <w:t xml:space="preserve"> spores deposited in the alveolar region of the mouse lung over</w:t>
      </w:r>
      <w:r w:rsidR="006E76EF" w:rsidRPr="003370CC">
        <w:t xml:space="preserve"> </w:t>
      </w:r>
      <w:r w:rsidR="006E76EF">
        <w:t xml:space="preserve">a single </w:t>
      </w:r>
      <w:r w:rsidR="006E76EF" w:rsidRPr="003370CC">
        <w:t>60-minute dur</w:t>
      </w:r>
      <w:r w:rsidR="006E76EF">
        <w:t xml:space="preserve">ation </w:t>
      </w:r>
      <w:r w:rsidR="006E76EF" w:rsidRPr="003370CC">
        <w:t>exposure.</w:t>
      </w:r>
      <w:r w:rsidR="006E76EF" w:rsidRPr="004A7032">
        <w:t xml:space="preserve"> </w:t>
      </w:r>
      <w:r w:rsidR="006E76EF" w:rsidRPr="003370CC">
        <w:t xml:space="preserve">Animals were euthanized immediately following the completion of the </w:t>
      </w:r>
      <w:r w:rsidR="006E76EF">
        <w:t>exposure, via</w:t>
      </w:r>
      <w:r w:rsidR="006E76EF" w:rsidRPr="003370CC">
        <w:t xml:space="preserve"> administ</w:t>
      </w:r>
      <w:r w:rsidR="006E76EF">
        <w:t>ration of</w:t>
      </w:r>
      <w:r w:rsidR="006E76EF" w:rsidRPr="003370CC">
        <w:t xml:space="preserve"> </w:t>
      </w:r>
      <w:r w:rsidR="006E76EF">
        <w:t>a</w:t>
      </w:r>
      <w:r w:rsidR="006E76EF" w:rsidRPr="003370CC">
        <w:t xml:space="preserve"> final dose of 100-300 mg/kg pentobarbital via intraperitoneal injection.</w:t>
      </w:r>
    </w:p>
    <w:p w14:paraId="04B50A7E" w14:textId="06B91C20" w:rsidR="00964C63" w:rsidRPr="006E76EF" w:rsidRDefault="006E76EF" w:rsidP="006E76EF">
      <w:pPr>
        <w:pStyle w:val="ListParagraph"/>
        <w:numPr>
          <w:ilvl w:val="2"/>
          <w:numId w:val="13"/>
        </w:numPr>
        <w:rPr>
          <w:lang w:val="en"/>
        </w:rPr>
      </w:pPr>
      <w:r>
        <w:rPr>
          <w:lang w:val="en"/>
        </w:rPr>
        <w:t xml:space="preserve">Modified local lymph node assay: </w:t>
      </w:r>
      <w:r w:rsidRPr="003370CC">
        <w:t xml:space="preserve">C57BL/6 mice were exposed to either HEPA-filtered air, viable </w:t>
      </w:r>
      <w:r w:rsidRPr="003370CC">
        <w:rPr>
          <w:i/>
        </w:rPr>
        <w:t xml:space="preserve">A. fumigatus </w:t>
      </w:r>
      <w:r w:rsidRPr="003370CC">
        <w:t>conidia (1x10</w:t>
      </w:r>
      <w:r w:rsidRPr="003370CC">
        <w:rPr>
          <w:vertAlign w:val="superscript"/>
        </w:rPr>
        <w:t>5</w:t>
      </w:r>
      <w:r w:rsidRPr="003370CC">
        <w:t>), or viable</w:t>
      </w:r>
      <w:r w:rsidRPr="003370CC">
        <w:rPr>
          <w:i/>
        </w:rPr>
        <w:t xml:space="preserve"> A. versicolor </w:t>
      </w:r>
      <w:r w:rsidRPr="003370CC">
        <w:t>conidia (1x10</w:t>
      </w:r>
      <w:r w:rsidRPr="003370CC">
        <w:rPr>
          <w:vertAlign w:val="superscript"/>
        </w:rPr>
        <w:t>4</w:t>
      </w:r>
      <w:r w:rsidRPr="003370CC">
        <w:t>, 1x10</w:t>
      </w:r>
      <w:r w:rsidRPr="003370CC">
        <w:rPr>
          <w:vertAlign w:val="superscript"/>
        </w:rPr>
        <w:t>5</w:t>
      </w:r>
      <w:r w:rsidRPr="003370CC">
        <w:t>, 5x10</w:t>
      </w:r>
      <w:r w:rsidRPr="003370CC">
        <w:rPr>
          <w:vertAlign w:val="superscript"/>
        </w:rPr>
        <w:t>5</w:t>
      </w:r>
      <w:r w:rsidRPr="003370CC">
        <w:t>) for 60 minutes for three consecutive days, followed by two days with no exposur</w:t>
      </w:r>
      <w:r>
        <w:t xml:space="preserve">e. </w:t>
      </w:r>
      <w:r w:rsidRPr="003370CC">
        <w:rPr>
          <w:shd w:val="clear" w:color="auto" w:fill="FFFFFF"/>
        </w:rPr>
        <w:t>Mice were</w:t>
      </w:r>
      <w:r>
        <w:rPr>
          <w:shd w:val="clear" w:color="auto" w:fill="FFFFFF"/>
        </w:rPr>
        <w:t xml:space="preserve"> then</w:t>
      </w:r>
      <w:r w:rsidRPr="003370CC">
        <w:rPr>
          <w:shd w:val="clear" w:color="auto" w:fill="FFFFFF"/>
        </w:rPr>
        <w:t xml:space="preserve"> injected intravenously via the lateral tail vein with 20 µCi 3h-thymidine (Dupont NEN, Waltham, MA; specific activity 2 Ci/mmol) 48 hours following the final exposure, then euthanized via CO</w:t>
      </w:r>
      <w:r w:rsidRPr="003370CC">
        <w:rPr>
          <w:shd w:val="clear" w:color="auto" w:fill="FFFFFF"/>
          <w:vertAlign w:val="subscript"/>
        </w:rPr>
        <w:t>2</w:t>
      </w:r>
      <w:r w:rsidRPr="003370CC">
        <w:rPr>
          <w:shd w:val="clear" w:color="auto" w:fill="FFFFFF"/>
        </w:rPr>
        <w:t> inhalation after five hours.</w:t>
      </w:r>
    </w:p>
    <w:p w14:paraId="067898BE" w14:textId="35999B0A" w:rsidR="006E76EF" w:rsidRDefault="006E76EF" w:rsidP="006E76EF">
      <w:pPr>
        <w:pStyle w:val="ListParagraph"/>
        <w:numPr>
          <w:ilvl w:val="2"/>
          <w:numId w:val="13"/>
        </w:numPr>
        <w:rPr>
          <w:lang w:val="en"/>
        </w:rPr>
      </w:pPr>
      <w:r>
        <w:rPr>
          <w:lang w:val="en"/>
        </w:rPr>
        <w:t xml:space="preserve">Dosimetry study: </w:t>
      </w:r>
      <w:r w:rsidRPr="003370CC">
        <w:t>C57BL/6 mice were exposed twice weekly for a total of 8 exposures, to doses</w:t>
      </w:r>
      <w:r>
        <w:t xml:space="preserve"> per exposure</w:t>
      </w:r>
      <w:r w:rsidRPr="003370CC">
        <w:t xml:space="preserve"> of viable </w:t>
      </w:r>
      <w:r w:rsidRPr="003370CC">
        <w:rPr>
          <w:i/>
          <w:iCs/>
        </w:rPr>
        <w:t>A. versicolor</w:t>
      </w:r>
      <w:r w:rsidRPr="003370CC">
        <w:t xml:space="preserve">, or HEPA-filtered air. The </w:t>
      </w:r>
      <w:r>
        <w:t xml:space="preserve">per exposure </w:t>
      </w:r>
      <w:r w:rsidRPr="003370CC">
        <w:t>doses included were 1x10</w:t>
      </w:r>
      <w:r w:rsidRPr="003370CC">
        <w:rPr>
          <w:vertAlign w:val="superscript"/>
        </w:rPr>
        <w:t>4</w:t>
      </w:r>
      <w:r w:rsidRPr="003370CC">
        <w:t>, 3x10</w:t>
      </w:r>
      <w:r w:rsidRPr="003370CC">
        <w:rPr>
          <w:vertAlign w:val="superscript"/>
        </w:rPr>
        <w:t>4</w:t>
      </w:r>
      <w:r w:rsidRPr="003370CC">
        <w:t>, 1x10</w:t>
      </w:r>
      <w:r w:rsidRPr="003370CC">
        <w:rPr>
          <w:vertAlign w:val="superscript"/>
        </w:rPr>
        <w:t>5</w:t>
      </w:r>
      <w:r w:rsidRPr="003370CC">
        <w:t>, or 5x10</w:t>
      </w:r>
      <w:r w:rsidRPr="003370CC">
        <w:rPr>
          <w:vertAlign w:val="superscript"/>
        </w:rPr>
        <w:t>5</w:t>
      </w:r>
      <w:r w:rsidRPr="003370CC">
        <w:t xml:space="preserve"> </w:t>
      </w:r>
      <w:r>
        <w:t xml:space="preserve">number of </w:t>
      </w:r>
      <w:r w:rsidRPr="003370CC">
        <w:t>conidia</w:t>
      </w:r>
      <w:r>
        <w:t xml:space="preserve"> deposited in the alveolar region of each mouse lung</w:t>
      </w:r>
      <w:r w:rsidRPr="003370CC">
        <w:t xml:space="preserve">. Twenty-four hours following the final exposure, animals were humanely euthanized </w:t>
      </w:r>
      <w:r>
        <w:t>and dissected.</w:t>
      </w:r>
    </w:p>
    <w:p w14:paraId="2187A54D" w14:textId="1F50EEB5" w:rsidR="00A221D0" w:rsidRDefault="00A221D0" w:rsidP="00964C63">
      <w:pPr>
        <w:pStyle w:val="ListParagraph"/>
        <w:numPr>
          <w:ilvl w:val="0"/>
          <w:numId w:val="13"/>
        </w:numPr>
        <w:rPr>
          <w:lang w:val="en"/>
        </w:rPr>
      </w:pPr>
      <w:r w:rsidRPr="00B621BE">
        <w:rPr>
          <w:lang w:val="en"/>
        </w:rPr>
        <w:t xml:space="preserve">Histopathological analysis </w:t>
      </w:r>
    </w:p>
    <w:p w14:paraId="79083EF7" w14:textId="6F77B4B1" w:rsidR="00B621BE" w:rsidRDefault="00B621BE" w:rsidP="00964C63">
      <w:pPr>
        <w:pStyle w:val="ListParagraph"/>
        <w:numPr>
          <w:ilvl w:val="1"/>
          <w:numId w:val="13"/>
        </w:numPr>
        <w:rPr>
          <w:lang w:val="en"/>
        </w:rPr>
      </w:pPr>
      <w:r>
        <w:rPr>
          <w:lang w:val="en"/>
        </w:rPr>
        <w:t>Lungs designated for histopathological analyses were inflated with formalin, tied off, embedded in paraffin, sectioned</w:t>
      </w:r>
      <w:r w:rsidR="003B4737">
        <w:rPr>
          <w:lang w:val="en"/>
        </w:rPr>
        <w:t>,</w:t>
      </w:r>
      <w:r>
        <w:rPr>
          <w:lang w:val="en"/>
        </w:rPr>
        <w:t xml:space="preserve"> and stained for routine evaluation by a histopathologist. </w:t>
      </w:r>
    </w:p>
    <w:p w14:paraId="5E5BEB67" w14:textId="48A50C32" w:rsidR="003B4737" w:rsidRDefault="003B4737" w:rsidP="00964C63">
      <w:pPr>
        <w:pStyle w:val="ListParagraph"/>
        <w:numPr>
          <w:ilvl w:val="1"/>
          <w:numId w:val="13"/>
        </w:numPr>
        <w:rPr>
          <w:lang w:val="en"/>
        </w:rPr>
      </w:pPr>
      <w:r>
        <w:rPr>
          <w:lang w:val="en"/>
        </w:rPr>
        <w:t>Slides were stained with either hematoxylin and eosin</w:t>
      </w:r>
      <w:r w:rsidR="006E76EF">
        <w:rPr>
          <w:lang w:val="en"/>
        </w:rPr>
        <w:t xml:space="preserve"> </w:t>
      </w:r>
      <w:r>
        <w:rPr>
          <w:lang w:val="en"/>
        </w:rPr>
        <w:t xml:space="preserve">or Grocott’s methenamine silver stain. </w:t>
      </w:r>
    </w:p>
    <w:p w14:paraId="7ED1C409" w14:textId="39C6C2A1" w:rsidR="006E76EF" w:rsidRPr="00B621BE" w:rsidRDefault="006E76EF" w:rsidP="00964C63">
      <w:pPr>
        <w:pStyle w:val="ListParagraph"/>
        <w:numPr>
          <w:ilvl w:val="1"/>
          <w:numId w:val="13"/>
        </w:numPr>
        <w:rPr>
          <w:lang w:val="en"/>
        </w:rPr>
      </w:pPr>
      <w:r>
        <w:rPr>
          <w:lang w:val="en"/>
        </w:rPr>
        <w:t xml:space="preserve">Pathological findings were assessed by external pathologists at </w:t>
      </w:r>
      <w:r w:rsidRPr="003370CC">
        <w:t>HistoTox Labs</w:t>
      </w:r>
    </w:p>
    <w:p w14:paraId="7FC1348B" w14:textId="66EDB311" w:rsidR="00A221D0" w:rsidRDefault="00A221D0" w:rsidP="00964C63">
      <w:pPr>
        <w:pStyle w:val="ListParagraph"/>
        <w:numPr>
          <w:ilvl w:val="0"/>
          <w:numId w:val="13"/>
        </w:numPr>
        <w:rPr>
          <w:lang w:val="en"/>
        </w:rPr>
      </w:pPr>
      <w:r w:rsidRPr="00B621BE">
        <w:rPr>
          <w:lang w:val="en"/>
        </w:rPr>
        <w:t xml:space="preserve">Flow cytometry </w:t>
      </w:r>
    </w:p>
    <w:p w14:paraId="47FB8883" w14:textId="5D6538A7" w:rsidR="00B621BE" w:rsidRDefault="00414841" w:rsidP="00964C63">
      <w:pPr>
        <w:pStyle w:val="ListParagraph"/>
        <w:numPr>
          <w:ilvl w:val="1"/>
          <w:numId w:val="13"/>
        </w:numPr>
        <w:rPr>
          <w:lang w:val="en"/>
        </w:rPr>
      </w:pPr>
      <w:r>
        <w:rPr>
          <w:lang w:val="en"/>
        </w:rPr>
        <w:t>B</w:t>
      </w:r>
      <w:r w:rsidR="00B621BE">
        <w:rPr>
          <w:lang w:val="en"/>
        </w:rPr>
        <w:t xml:space="preserve">ronchoalveolar lavage fluid </w:t>
      </w:r>
      <w:r>
        <w:rPr>
          <w:lang w:val="en"/>
        </w:rPr>
        <w:t xml:space="preserve">(2 mL) </w:t>
      </w:r>
      <w:r w:rsidR="00B621BE">
        <w:rPr>
          <w:lang w:val="en"/>
        </w:rPr>
        <w:t xml:space="preserve">was collected from mice designated for flow cytometry analyses. </w:t>
      </w:r>
    </w:p>
    <w:p w14:paraId="0CC00279" w14:textId="472250E8" w:rsidR="003B4737" w:rsidRDefault="003B4737" w:rsidP="00964C63">
      <w:pPr>
        <w:pStyle w:val="ListParagraph"/>
        <w:numPr>
          <w:ilvl w:val="1"/>
          <w:numId w:val="13"/>
        </w:numPr>
        <w:rPr>
          <w:lang w:val="en"/>
        </w:rPr>
      </w:pPr>
      <w:r>
        <w:rPr>
          <w:lang w:val="en"/>
        </w:rPr>
        <w:lastRenderedPageBreak/>
        <w:t xml:space="preserve">Cells were stained with myeloid and </w:t>
      </w:r>
      <w:r w:rsidR="00414841">
        <w:rPr>
          <w:lang w:val="en"/>
        </w:rPr>
        <w:t>lymphoid</w:t>
      </w:r>
      <w:r>
        <w:rPr>
          <w:lang w:val="en"/>
        </w:rPr>
        <w:t xml:space="preserve"> surface marker panels. </w:t>
      </w:r>
    </w:p>
    <w:p w14:paraId="0525E100" w14:textId="60DDA5C6" w:rsidR="003B4737" w:rsidRDefault="003B4737" w:rsidP="00964C63">
      <w:pPr>
        <w:pStyle w:val="ListParagraph"/>
        <w:numPr>
          <w:ilvl w:val="1"/>
          <w:numId w:val="13"/>
        </w:numPr>
        <w:rPr>
          <w:lang w:val="en"/>
        </w:rPr>
      </w:pPr>
      <w:r>
        <w:rPr>
          <w:lang w:val="en"/>
        </w:rPr>
        <w:t xml:space="preserve">Flow cytometry was analyzed in Flow Jo version 10.6. </w:t>
      </w:r>
    </w:p>
    <w:p w14:paraId="322D8049" w14:textId="5D0F828A" w:rsidR="006E76EF" w:rsidRDefault="006E76EF" w:rsidP="006E76EF">
      <w:pPr>
        <w:pStyle w:val="ListParagraph"/>
        <w:numPr>
          <w:ilvl w:val="0"/>
          <w:numId w:val="13"/>
        </w:numPr>
        <w:rPr>
          <w:lang w:val="en"/>
        </w:rPr>
      </w:pPr>
      <w:r>
        <w:rPr>
          <w:lang w:val="en"/>
        </w:rPr>
        <w:t>Serum immunoglobulin quantification</w:t>
      </w:r>
    </w:p>
    <w:p w14:paraId="3BAE02E8" w14:textId="77777777" w:rsidR="006E76EF" w:rsidRDefault="006E76EF" w:rsidP="006E76EF">
      <w:pPr>
        <w:pStyle w:val="ListParagraph"/>
        <w:numPr>
          <w:ilvl w:val="1"/>
          <w:numId w:val="13"/>
        </w:numPr>
        <w:rPr>
          <w:lang w:val="en"/>
        </w:rPr>
      </w:pPr>
      <w:r w:rsidRPr="006E76EF">
        <w:rPr>
          <w:lang w:val="en"/>
        </w:rPr>
        <w:t xml:space="preserve">Serum was collected from whole blood following cardiac puncture. </w:t>
      </w:r>
    </w:p>
    <w:p w14:paraId="370FCDBD" w14:textId="1CF34515" w:rsidR="006E76EF" w:rsidRPr="00B621BE" w:rsidRDefault="006E76EF" w:rsidP="006E76EF">
      <w:pPr>
        <w:pStyle w:val="ListParagraph"/>
        <w:numPr>
          <w:ilvl w:val="1"/>
          <w:numId w:val="13"/>
        </w:numPr>
        <w:rPr>
          <w:lang w:val="en"/>
        </w:rPr>
      </w:pPr>
      <w:r w:rsidRPr="006E76EF">
        <w:rPr>
          <w:lang w:val="en"/>
        </w:rPr>
        <w:t>Serum concentrations of total IgG, IgA, IgM, and IgE were quantified using Invitrogen ELISA kits, per the manufacturer’s instructions (Thermo Fisher).</w:t>
      </w:r>
    </w:p>
    <w:p w14:paraId="43E837A6" w14:textId="5B40E1D6" w:rsidR="002616D7" w:rsidRDefault="002616D7" w:rsidP="00964C63">
      <w:pPr>
        <w:pStyle w:val="Heading1"/>
      </w:pPr>
      <w:r>
        <w:t>Citations</w:t>
      </w:r>
    </w:p>
    <w:p w14:paraId="439E217F" w14:textId="0A00DFA7" w:rsidR="002A5BE7" w:rsidRPr="002561B2" w:rsidRDefault="006E76EF" w:rsidP="00964C63">
      <w:r w:rsidRPr="00DC59BE">
        <w:t xml:space="preserve">Blackwood CB, Croston TL, Barnes MA, Lemons AR, Rush RE, Goldsmith WT, McKinney W, Anderson SE, Weaver KL, </w:t>
      </w:r>
      <w:r>
        <w:t xml:space="preserve">Sulyok M, </w:t>
      </w:r>
      <w:r w:rsidRPr="00DC59BE">
        <w:t>Park J</w:t>
      </w:r>
      <w:r>
        <w:t>-</w:t>
      </w:r>
      <w:r w:rsidRPr="00DC59BE">
        <w:t>H, Germolec DR, Beezhold DH, Green BJ</w:t>
      </w:r>
      <w:r>
        <w:t xml:space="preserve">. </w:t>
      </w:r>
      <w:r w:rsidRPr="00964C63">
        <w:t>Optimization of Aspergillus versicolor culture and aerosolization in a murine model of inhalational fungal exposure</w:t>
      </w:r>
      <w:r>
        <w:t xml:space="preserve">. </w:t>
      </w:r>
      <w:r w:rsidRPr="006E76EF">
        <w:rPr>
          <w:i/>
          <w:iCs/>
        </w:rPr>
        <w:t>Submitted to MDPI Journal of Fungi 2023</w:t>
      </w:r>
      <w:r>
        <w:rPr>
          <w:i/>
          <w:iCs/>
        </w:rPr>
        <w:t>.</w:t>
      </w:r>
    </w:p>
    <w:p w14:paraId="737BBAB8" w14:textId="0BEAE4F2" w:rsidR="002A5BE7" w:rsidRDefault="002A5BE7" w:rsidP="00964C63">
      <w:pPr>
        <w:pStyle w:val="Heading1"/>
      </w:pPr>
      <w:r>
        <w:t>Acknowledgments</w:t>
      </w:r>
    </w:p>
    <w:p w14:paraId="2B7EECE7" w14:textId="2187F02B" w:rsidR="006E76EF" w:rsidRPr="002561B2" w:rsidRDefault="006E76EF" w:rsidP="00964C63">
      <w:r w:rsidRPr="006E76EF">
        <w:t>This work was supported by intramural funds from NIOSH (927ZLCT), as well as an interagency agreement between NIOSH and National Institute of Environmental Health Sciences as a collaborative National Toxicology Program research activity (AES12007001-1-0-6). The findings of this study are those of the authors and do not necessarily represent the official position of National Institute for Occupational Safety and Health, Centers for Disease Control and Prevention.</w:t>
      </w:r>
    </w:p>
    <w:p w14:paraId="4537F6F5" w14:textId="6365EE06" w:rsidR="00890B34" w:rsidRDefault="00890B34" w:rsidP="00964C63">
      <w:pPr>
        <w:pStyle w:val="Heading1"/>
      </w:pPr>
      <w:r w:rsidRPr="00261986">
        <w:t>Authors</w:t>
      </w:r>
    </w:p>
    <w:p w14:paraId="0E82C43E" w14:textId="028B7AD8" w:rsidR="003E7164" w:rsidRPr="003E7164" w:rsidRDefault="005F4BBF" w:rsidP="003E7164">
      <w:pPr>
        <w:rPr>
          <w:sz w:val="24"/>
          <w:szCs w:val="24"/>
        </w:rPr>
      </w:pPr>
      <w:bookmarkStart w:id="1" w:name="_Hlk140654978"/>
      <w:r>
        <w:rPr>
          <w:sz w:val="24"/>
          <w:szCs w:val="24"/>
        </w:rPr>
        <w:t xml:space="preserve">Catherine B </w:t>
      </w:r>
      <w:r w:rsidR="003E7164" w:rsidRPr="003E7164">
        <w:rPr>
          <w:sz w:val="24"/>
          <w:szCs w:val="24"/>
        </w:rPr>
        <w:t>Blackwood</w:t>
      </w:r>
      <w:r w:rsidR="003E7164" w:rsidRPr="003E7164">
        <w:rPr>
          <w:sz w:val="24"/>
          <w:szCs w:val="24"/>
          <w:vertAlign w:val="superscript"/>
        </w:rPr>
        <w:t>1</w:t>
      </w:r>
      <w:r w:rsidR="002561B2">
        <w:rPr>
          <w:sz w:val="24"/>
          <w:szCs w:val="24"/>
        </w:rPr>
        <w:t xml:space="preserve">, </w:t>
      </w:r>
      <w:r>
        <w:rPr>
          <w:sz w:val="24"/>
          <w:szCs w:val="24"/>
        </w:rPr>
        <w:t>njz7@cdc.gov</w:t>
      </w:r>
      <w:r w:rsidR="003E7164" w:rsidRPr="003E7164">
        <w:rPr>
          <w:sz w:val="24"/>
          <w:szCs w:val="24"/>
        </w:rPr>
        <w:t> </w:t>
      </w:r>
    </w:p>
    <w:p w14:paraId="5FCDAACD" w14:textId="5C087B1E" w:rsidR="003E7164" w:rsidRPr="003E7164" w:rsidRDefault="005F4BBF" w:rsidP="003E7164">
      <w:pPr>
        <w:rPr>
          <w:sz w:val="24"/>
          <w:szCs w:val="24"/>
        </w:rPr>
      </w:pPr>
      <w:r>
        <w:rPr>
          <w:sz w:val="24"/>
          <w:szCs w:val="24"/>
        </w:rPr>
        <w:t xml:space="preserve">Tara L </w:t>
      </w:r>
      <w:r w:rsidR="003E7164" w:rsidRPr="003E7164">
        <w:rPr>
          <w:sz w:val="24"/>
          <w:szCs w:val="24"/>
        </w:rPr>
        <w:t>Croston</w:t>
      </w:r>
      <w:r w:rsidR="003E7164" w:rsidRPr="003E7164">
        <w:rPr>
          <w:sz w:val="24"/>
          <w:szCs w:val="24"/>
          <w:vertAlign w:val="superscript"/>
        </w:rPr>
        <w:t>1</w:t>
      </w:r>
      <w:r w:rsidR="003E7164" w:rsidRPr="003E7164">
        <w:rPr>
          <w:sz w:val="24"/>
          <w:szCs w:val="24"/>
        </w:rPr>
        <w:t>,</w:t>
      </w:r>
      <w:r w:rsidR="002561B2">
        <w:rPr>
          <w:sz w:val="24"/>
          <w:szCs w:val="24"/>
        </w:rPr>
        <w:t xml:space="preserve"> xzu9@cdc.gov</w:t>
      </w:r>
    </w:p>
    <w:p w14:paraId="59C88DE0" w14:textId="1F7A6235" w:rsidR="003E7164" w:rsidRPr="003E7164" w:rsidRDefault="00E662A2" w:rsidP="003E7164">
      <w:pPr>
        <w:rPr>
          <w:sz w:val="24"/>
          <w:szCs w:val="24"/>
        </w:rPr>
      </w:pPr>
      <w:r w:rsidRPr="003E7164">
        <w:rPr>
          <w:sz w:val="24"/>
          <w:szCs w:val="24"/>
        </w:rPr>
        <w:t>M</w:t>
      </w:r>
      <w:r w:rsidR="002561B2">
        <w:rPr>
          <w:sz w:val="24"/>
          <w:szCs w:val="24"/>
        </w:rPr>
        <w:t xml:space="preserve">ark </w:t>
      </w:r>
      <w:r w:rsidRPr="003E7164">
        <w:rPr>
          <w:sz w:val="24"/>
          <w:szCs w:val="24"/>
        </w:rPr>
        <w:t>A</w:t>
      </w:r>
      <w:r w:rsidR="003E7164" w:rsidRPr="003E7164">
        <w:rPr>
          <w:sz w:val="24"/>
          <w:szCs w:val="24"/>
        </w:rPr>
        <w:t xml:space="preserve"> Barnes </w:t>
      </w:r>
      <w:r w:rsidR="003E7164" w:rsidRPr="003E7164">
        <w:rPr>
          <w:sz w:val="24"/>
          <w:szCs w:val="24"/>
          <w:vertAlign w:val="superscript"/>
        </w:rPr>
        <w:t>1</w:t>
      </w:r>
      <w:r w:rsidR="003E7164" w:rsidRPr="003E7164">
        <w:rPr>
          <w:sz w:val="24"/>
          <w:szCs w:val="24"/>
        </w:rPr>
        <w:t>,</w:t>
      </w:r>
      <w:r w:rsidR="002561B2">
        <w:rPr>
          <w:sz w:val="24"/>
          <w:szCs w:val="24"/>
        </w:rPr>
        <w:t xml:space="preserve"> </w:t>
      </w:r>
      <w:r w:rsidR="002561B2" w:rsidRPr="002561B2">
        <w:rPr>
          <w:sz w:val="24"/>
          <w:szCs w:val="24"/>
        </w:rPr>
        <w:t>markbarnes050914@gmail.com</w:t>
      </w:r>
    </w:p>
    <w:p w14:paraId="228B8AD3" w14:textId="01F01A64" w:rsidR="003E7164" w:rsidRPr="003E7164" w:rsidRDefault="00E662A2" w:rsidP="003E7164">
      <w:pPr>
        <w:rPr>
          <w:sz w:val="24"/>
          <w:szCs w:val="24"/>
        </w:rPr>
      </w:pPr>
      <w:r w:rsidRPr="003E7164">
        <w:rPr>
          <w:sz w:val="24"/>
          <w:szCs w:val="24"/>
        </w:rPr>
        <w:t>A</w:t>
      </w:r>
      <w:r w:rsidR="002561B2">
        <w:rPr>
          <w:sz w:val="24"/>
          <w:szCs w:val="24"/>
        </w:rPr>
        <w:t xml:space="preserve">ngela </w:t>
      </w:r>
      <w:r w:rsidRPr="003E7164">
        <w:rPr>
          <w:sz w:val="24"/>
          <w:szCs w:val="24"/>
        </w:rPr>
        <w:t>R</w:t>
      </w:r>
      <w:r w:rsidR="003E7164" w:rsidRPr="003E7164">
        <w:rPr>
          <w:sz w:val="24"/>
          <w:szCs w:val="24"/>
        </w:rPr>
        <w:t xml:space="preserve"> Lemons </w:t>
      </w:r>
      <w:r w:rsidR="003E7164" w:rsidRPr="003E7164">
        <w:rPr>
          <w:sz w:val="24"/>
          <w:szCs w:val="24"/>
          <w:vertAlign w:val="superscript"/>
        </w:rPr>
        <w:t>1</w:t>
      </w:r>
      <w:r w:rsidR="003E7164" w:rsidRPr="003E7164">
        <w:rPr>
          <w:sz w:val="24"/>
          <w:szCs w:val="24"/>
        </w:rPr>
        <w:t>, </w:t>
      </w:r>
      <w:r w:rsidR="002561B2">
        <w:rPr>
          <w:sz w:val="24"/>
          <w:szCs w:val="24"/>
        </w:rPr>
        <w:t>wrw0@cdc.gov</w:t>
      </w:r>
    </w:p>
    <w:p w14:paraId="2AE54F59" w14:textId="7A4F08E1" w:rsidR="003E7164" w:rsidRPr="003E7164" w:rsidRDefault="00E662A2" w:rsidP="003E7164">
      <w:pPr>
        <w:rPr>
          <w:sz w:val="24"/>
          <w:szCs w:val="24"/>
        </w:rPr>
      </w:pPr>
      <w:r w:rsidRPr="003E7164">
        <w:rPr>
          <w:sz w:val="24"/>
          <w:szCs w:val="24"/>
        </w:rPr>
        <w:t>R</w:t>
      </w:r>
      <w:r w:rsidR="002561B2">
        <w:rPr>
          <w:sz w:val="24"/>
          <w:szCs w:val="24"/>
        </w:rPr>
        <w:t xml:space="preserve">achael </w:t>
      </w:r>
      <w:r w:rsidRPr="003E7164">
        <w:rPr>
          <w:sz w:val="24"/>
          <w:szCs w:val="24"/>
        </w:rPr>
        <w:t>E</w:t>
      </w:r>
      <w:r w:rsidR="002561B2">
        <w:rPr>
          <w:sz w:val="24"/>
          <w:szCs w:val="24"/>
        </w:rPr>
        <w:t xml:space="preserve"> </w:t>
      </w:r>
      <w:r w:rsidR="003E7164" w:rsidRPr="003E7164">
        <w:rPr>
          <w:sz w:val="24"/>
          <w:szCs w:val="24"/>
        </w:rPr>
        <w:t>Rush</w:t>
      </w:r>
      <w:r w:rsidR="002561B2" w:rsidRPr="003E7164">
        <w:rPr>
          <w:sz w:val="24"/>
          <w:szCs w:val="24"/>
          <w:vertAlign w:val="superscript"/>
        </w:rPr>
        <w:t>1</w:t>
      </w:r>
      <w:r w:rsidR="003E7164" w:rsidRPr="003E7164">
        <w:rPr>
          <w:sz w:val="24"/>
          <w:szCs w:val="24"/>
        </w:rPr>
        <w:t>, </w:t>
      </w:r>
      <w:r w:rsidR="002561B2">
        <w:rPr>
          <w:sz w:val="24"/>
          <w:szCs w:val="24"/>
        </w:rPr>
        <w:t>r.rush@pitt.edu</w:t>
      </w:r>
    </w:p>
    <w:p w14:paraId="3FE42E5D" w14:textId="749E1C6A" w:rsidR="003E7164" w:rsidRPr="003E7164" w:rsidRDefault="002561B2" w:rsidP="003E7164">
      <w:pPr>
        <w:rPr>
          <w:sz w:val="24"/>
          <w:szCs w:val="24"/>
        </w:rPr>
      </w:pPr>
      <w:r w:rsidRPr="003E7164">
        <w:rPr>
          <w:sz w:val="24"/>
          <w:szCs w:val="24"/>
        </w:rPr>
        <w:t>W</w:t>
      </w:r>
      <w:r>
        <w:rPr>
          <w:sz w:val="24"/>
          <w:szCs w:val="24"/>
        </w:rPr>
        <w:t xml:space="preserve"> </w:t>
      </w:r>
      <w:r w:rsidRPr="003E7164">
        <w:rPr>
          <w:sz w:val="24"/>
          <w:szCs w:val="24"/>
        </w:rPr>
        <w:t>T</w:t>
      </w:r>
      <w:r>
        <w:rPr>
          <w:sz w:val="24"/>
          <w:szCs w:val="24"/>
        </w:rPr>
        <w:t>ravis</w:t>
      </w:r>
      <w:r w:rsidRPr="003E7164">
        <w:rPr>
          <w:sz w:val="24"/>
          <w:szCs w:val="24"/>
        </w:rPr>
        <w:t xml:space="preserve"> </w:t>
      </w:r>
      <w:r w:rsidR="003E7164" w:rsidRPr="003E7164">
        <w:rPr>
          <w:sz w:val="24"/>
          <w:szCs w:val="24"/>
        </w:rPr>
        <w:t xml:space="preserve">Goldsmith </w:t>
      </w:r>
      <w:r w:rsidR="003E7164" w:rsidRPr="003E7164">
        <w:rPr>
          <w:sz w:val="24"/>
          <w:szCs w:val="24"/>
          <w:vertAlign w:val="superscript"/>
        </w:rPr>
        <w:t>1</w:t>
      </w:r>
      <w:r w:rsidR="003E7164" w:rsidRPr="003E7164">
        <w:rPr>
          <w:sz w:val="24"/>
          <w:szCs w:val="24"/>
        </w:rPr>
        <w:t>,</w:t>
      </w:r>
      <w:r>
        <w:rPr>
          <w:sz w:val="24"/>
          <w:szCs w:val="24"/>
        </w:rPr>
        <w:t xml:space="preserve"> </w:t>
      </w:r>
      <w:r w:rsidRPr="002561B2">
        <w:rPr>
          <w:sz w:val="24"/>
          <w:szCs w:val="24"/>
        </w:rPr>
        <w:t>wgoldsmi@hsc.wvu.edu</w:t>
      </w:r>
    </w:p>
    <w:p w14:paraId="61FBD5F7" w14:textId="794AE32E" w:rsidR="003E7164" w:rsidRPr="003E7164" w:rsidRDefault="003E7164" w:rsidP="003E7164">
      <w:pPr>
        <w:rPr>
          <w:sz w:val="24"/>
          <w:szCs w:val="24"/>
        </w:rPr>
      </w:pPr>
      <w:r w:rsidRPr="003E7164">
        <w:rPr>
          <w:sz w:val="24"/>
          <w:szCs w:val="24"/>
        </w:rPr>
        <w:t> </w:t>
      </w:r>
      <w:r w:rsidR="002561B2" w:rsidRPr="003E7164">
        <w:rPr>
          <w:sz w:val="24"/>
          <w:szCs w:val="24"/>
        </w:rPr>
        <w:t>W</w:t>
      </w:r>
      <w:r w:rsidR="002561B2">
        <w:rPr>
          <w:sz w:val="24"/>
          <w:szCs w:val="24"/>
        </w:rPr>
        <w:t>alter</w:t>
      </w:r>
      <w:r w:rsidR="002561B2" w:rsidRPr="003E7164">
        <w:rPr>
          <w:sz w:val="24"/>
          <w:szCs w:val="24"/>
        </w:rPr>
        <w:t xml:space="preserve"> </w:t>
      </w:r>
      <w:r w:rsidRPr="003E7164">
        <w:rPr>
          <w:sz w:val="24"/>
          <w:szCs w:val="24"/>
        </w:rPr>
        <w:t xml:space="preserve">McKinney </w:t>
      </w:r>
      <w:r w:rsidRPr="003E7164">
        <w:rPr>
          <w:sz w:val="24"/>
          <w:szCs w:val="24"/>
          <w:vertAlign w:val="superscript"/>
        </w:rPr>
        <w:t>1</w:t>
      </w:r>
      <w:r w:rsidRPr="003E7164">
        <w:rPr>
          <w:sz w:val="24"/>
          <w:szCs w:val="24"/>
        </w:rPr>
        <w:t xml:space="preserve">, </w:t>
      </w:r>
      <w:r w:rsidR="002561B2">
        <w:rPr>
          <w:sz w:val="24"/>
          <w:szCs w:val="24"/>
        </w:rPr>
        <w:t>wdm9@cdc.gov</w:t>
      </w:r>
    </w:p>
    <w:p w14:paraId="2B1FE0A8" w14:textId="61CC5792" w:rsidR="003E7164" w:rsidRPr="003E7164" w:rsidRDefault="002561B2" w:rsidP="003E7164">
      <w:pPr>
        <w:rPr>
          <w:sz w:val="24"/>
          <w:szCs w:val="24"/>
        </w:rPr>
      </w:pPr>
      <w:r w:rsidRPr="003E7164">
        <w:rPr>
          <w:sz w:val="24"/>
          <w:szCs w:val="24"/>
        </w:rPr>
        <w:t>S</w:t>
      </w:r>
      <w:r>
        <w:rPr>
          <w:sz w:val="24"/>
          <w:szCs w:val="24"/>
        </w:rPr>
        <w:t xml:space="preserve">tacey </w:t>
      </w:r>
      <w:r w:rsidRPr="003E7164">
        <w:rPr>
          <w:sz w:val="24"/>
          <w:szCs w:val="24"/>
        </w:rPr>
        <w:t xml:space="preserve">E </w:t>
      </w:r>
      <w:r w:rsidR="003E7164" w:rsidRPr="003E7164">
        <w:rPr>
          <w:sz w:val="24"/>
          <w:szCs w:val="24"/>
        </w:rPr>
        <w:t xml:space="preserve">Anderson </w:t>
      </w:r>
      <w:r w:rsidR="003E7164" w:rsidRPr="003E7164">
        <w:rPr>
          <w:sz w:val="24"/>
          <w:szCs w:val="24"/>
          <w:vertAlign w:val="superscript"/>
        </w:rPr>
        <w:t>1</w:t>
      </w:r>
      <w:r w:rsidR="003E7164" w:rsidRPr="003E7164">
        <w:rPr>
          <w:sz w:val="24"/>
          <w:szCs w:val="24"/>
        </w:rPr>
        <w:t xml:space="preserve">, </w:t>
      </w:r>
      <w:r>
        <w:rPr>
          <w:sz w:val="24"/>
          <w:szCs w:val="24"/>
        </w:rPr>
        <w:t>dbx7@cdc.gov</w:t>
      </w:r>
    </w:p>
    <w:p w14:paraId="2154CA2B" w14:textId="2C0D41F6" w:rsidR="003E7164" w:rsidRPr="003E7164" w:rsidRDefault="002561B2" w:rsidP="003E7164">
      <w:pPr>
        <w:rPr>
          <w:sz w:val="24"/>
          <w:szCs w:val="24"/>
        </w:rPr>
      </w:pPr>
      <w:r w:rsidRPr="003E7164">
        <w:rPr>
          <w:sz w:val="24"/>
          <w:szCs w:val="24"/>
        </w:rPr>
        <w:t>K</w:t>
      </w:r>
      <w:r>
        <w:rPr>
          <w:sz w:val="24"/>
          <w:szCs w:val="24"/>
        </w:rPr>
        <w:t xml:space="preserve">elly </w:t>
      </w:r>
      <w:r w:rsidRPr="003E7164">
        <w:rPr>
          <w:sz w:val="24"/>
          <w:szCs w:val="24"/>
        </w:rPr>
        <w:t xml:space="preserve">L </w:t>
      </w:r>
      <w:r w:rsidR="003E7164" w:rsidRPr="003E7164">
        <w:rPr>
          <w:sz w:val="24"/>
          <w:szCs w:val="24"/>
        </w:rPr>
        <w:t xml:space="preserve">Weaver </w:t>
      </w:r>
      <w:r w:rsidR="003E7164" w:rsidRPr="003E7164">
        <w:rPr>
          <w:sz w:val="24"/>
          <w:szCs w:val="24"/>
          <w:vertAlign w:val="superscript"/>
        </w:rPr>
        <w:t>2</w:t>
      </w:r>
      <w:r w:rsidR="003E7164" w:rsidRPr="003E7164">
        <w:rPr>
          <w:sz w:val="24"/>
          <w:szCs w:val="24"/>
        </w:rPr>
        <w:t xml:space="preserve">, </w:t>
      </w:r>
      <w:r>
        <w:rPr>
          <w:sz w:val="24"/>
          <w:szCs w:val="24"/>
        </w:rPr>
        <w:t>umq1@cd.gov</w:t>
      </w:r>
    </w:p>
    <w:p w14:paraId="466DC245" w14:textId="384F2DFC" w:rsidR="003E7164" w:rsidRPr="003E7164" w:rsidRDefault="002561B2" w:rsidP="003E7164">
      <w:pPr>
        <w:rPr>
          <w:sz w:val="24"/>
          <w:szCs w:val="24"/>
        </w:rPr>
      </w:pPr>
      <w:r w:rsidRPr="003E7164">
        <w:rPr>
          <w:sz w:val="24"/>
          <w:szCs w:val="24"/>
        </w:rPr>
        <w:t>M</w:t>
      </w:r>
      <w:r>
        <w:rPr>
          <w:sz w:val="24"/>
          <w:szCs w:val="24"/>
        </w:rPr>
        <w:t>ichael</w:t>
      </w:r>
      <w:r w:rsidRPr="003E7164">
        <w:rPr>
          <w:sz w:val="24"/>
          <w:szCs w:val="24"/>
        </w:rPr>
        <w:t xml:space="preserve"> </w:t>
      </w:r>
      <w:r w:rsidR="003E7164" w:rsidRPr="003E7164">
        <w:rPr>
          <w:sz w:val="24"/>
          <w:szCs w:val="24"/>
        </w:rPr>
        <w:t xml:space="preserve">Sulyok </w:t>
      </w:r>
      <w:r w:rsidR="003E7164" w:rsidRPr="003E7164">
        <w:rPr>
          <w:sz w:val="24"/>
          <w:szCs w:val="24"/>
          <w:vertAlign w:val="superscript"/>
        </w:rPr>
        <w:t>3</w:t>
      </w:r>
      <w:r w:rsidR="003E7164" w:rsidRPr="003E7164">
        <w:rPr>
          <w:sz w:val="24"/>
          <w:szCs w:val="24"/>
        </w:rPr>
        <w:t xml:space="preserve">, </w:t>
      </w:r>
      <w:r w:rsidRPr="002561B2">
        <w:rPr>
          <w:sz w:val="24"/>
          <w:szCs w:val="24"/>
        </w:rPr>
        <w:t>michael.sulyok@boku.ac.at</w:t>
      </w:r>
    </w:p>
    <w:p w14:paraId="741B0F5C" w14:textId="63656D09" w:rsidR="003E7164" w:rsidRPr="003E7164" w:rsidRDefault="002561B2" w:rsidP="003E7164">
      <w:pPr>
        <w:rPr>
          <w:sz w:val="24"/>
          <w:szCs w:val="24"/>
        </w:rPr>
      </w:pPr>
      <w:r w:rsidRPr="003E7164">
        <w:rPr>
          <w:sz w:val="24"/>
          <w:szCs w:val="24"/>
        </w:rPr>
        <w:lastRenderedPageBreak/>
        <w:t>J</w:t>
      </w:r>
      <w:r>
        <w:rPr>
          <w:sz w:val="24"/>
          <w:szCs w:val="24"/>
        </w:rPr>
        <w:t>u</w:t>
      </w:r>
      <w:r w:rsidRPr="003E7164">
        <w:rPr>
          <w:sz w:val="24"/>
          <w:szCs w:val="24"/>
        </w:rPr>
        <w:t>-H</w:t>
      </w:r>
      <w:r>
        <w:rPr>
          <w:sz w:val="24"/>
          <w:szCs w:val="24"/>
        </w:rPr>
        <w:t>yeong</w:t>
      </w:r>
      <w:r w:rsidRPr="003E7164">
        <w:rPr>
          <w:sz w:val="24"/>
          <w:szCs w:val="24"/>
        </w:rPr>
        <w:t xml:space="preserve"> </w:t>
      </w:r>
      <w:r w:rsidR="003E7164" w:rsidRPr="003E7164">
        <w:rPr>
          <w:sz w:val="24"/>
          <w:szCs w:val="24"/>
        </w:rPr>
        <w:t xml:space="preserve">Park </w:t>
      </w:r>
      <w:r w:rsidR="003E7164" w:rsidRPr="003E7164">
        <w:rPr>
          <w:sz w:val="24"/>
          <w:szCs w:val="24"/>
          <w:vertAlign w:val="superscript"/>
        </w:rPr>
        <w:t>4</w:t>
      </w:r>
      <w:r w:rsidR="003E7164" w:rsidRPr="003E7164">
        <w:rPr>
          <w:sz w:val="24"/>
          <w:szCs w:val="24"/>
        </w:rPr>
        <w:t>, </w:t>
      </w:r>
      <w:r>
        <w:rPr>
          <w:sz w:val="24"/>
          <w:szCs w:val="24"/>
        </w:rPr>
        <w:t>gzp8@cdc.gov</w:t>
      </w:r>
    </w:p>
    <w:p w14:paraId="3EC5FD60" w14:textId="67F86E08" w:rsidR="003E7164" w:rsidRPr="003E7164" w:rsidRDefault="00E662A2" w:rsidP="003E7164">
      <w:pPr>
        <w:rPr>
          <w:sz w:val="24"/>
          <w:szCs w:val="24"/>
        </w:rPr>
      </w:pPr>
      <w:r w:rsidRPr="003E7164">
        <w:rPr>
          <w:sz w:val="24"/>
          <w:szCs w:val="24"/>
        </w:rPr>
        <w:t>D</w:t>
      </w:r>
      <w:r w:rsidR="002561B2">
        <w:rPr>
          <w:sz w:val="24"/>
          <w:szCs w:val="24"/>
        </w:rPr>
        <w:t xml:space="preserve">ori </w:t>
      </w:r>
      <w:r w:rsidRPr="003E7164">
        <w:rPr>
          <w:sz w:val="24"/>
          <w:szCs w:val="24"/>
        </w:rPr>
        <w:t xml:space="preserve">R </w:t>
      </w:r>
      <w:r w:rsidR="003E7164" w:rsidRPr="003E7164">
        <w:rPr>
          <w:sz w:val="24"/>
          <w:szCs w:val="24"/>
        </w:rPr>
        <w:t xml:space="preserve">Germolec </w:t>
      </w:r>
      <w:r w:rsidR="003E7164" w:rsidRPr="003E7164">
        <w:rPr>
          <w:sz w:val="24"/>
          <w:szCs w:val="24"/>
          <w:vertAlign w:val="superscript"/>
        </w:rPr>
        <w:t>5</w:t>
      </w:r>
      <w:r w:rsidR="003E7164" w:rsidRPr="003E7164">
        <w:rPr>
          <w:sz w:val="24"/>
          <w:szCs w:val="24"/>
        </w:rPr>
        <w:t xml:space="preserve">, </w:t>
      </w:r>
      <w:r w:rsidR="002561B2" w:rsidRPr="002561B2">
        <w:rPr>
          <w:sz w:val="24"/>
          <w:szCs w:val="24"/>
        </w:rPr>
        <w:t>germolec@niehs.nih.gov</w:t>
      </w:r>
    </w:p>
    <w:p w14:paraId="390BF9D0" w14:textId="791EB4C0" w:rsidR="003E7164" w:rsidRPr="003E7164" w:rsidRDefault="00E662A2" w:rsidP="003E7164">
      <w:pPr>
        <w:rPr>
          <w:sz w:val="24"/>
          <w:szCs w:val="24"/>
        </w:rPr>
      </w:pPr>
      <w:r w:rsidRPr="003E7164">
        <w:rPr>
          <w:sz w:val="24"/>
          <w:szCs w:val="24"/>
        </w:rPr>
        <w:t>D</w:t>
      </w:r>
      <w:r w:rsidR="002561B2">
        <w:rPr>
          <w:sz w:val="24"/>
          <w:szCs w:val="24"/>
        </w:rPr>
        <w:t xml:space="preserve">onald </w:t>
      </w:r>
      <w:r w:rsidRPr="003E7164">
        <w:rPr>
          <w:sz w:val="24"/>
          <w:szCs w:val="24"/>
        </w:rPr>
        <w:t xml:space="preserve">H </w:t>
      </w:r>
      <w:r w:rsidR="003E7164" w:rsidRPr="003E7164">
        <w:rPr>
          <w:sz w:val="24"/>
          <w:szCs w:val="24"/>
        </w:rPr>
        <w:t xml:space="preserve">Beezhold </w:t>
      </w:r>
      <w:r w:rsidR="003E7164" w:rsidRPr="003E7164">
        <w:rPr>
          <w:sz w:val="24"/>
          <w:szCs w:val="24"/>
          <w:vertAlign w:val="superscript"/>
        </w:rPr>
        <w:t>1,6</w:t>
      </w:r>
      <w:r w:rsidR="003E7164" w:rsidRPr="003E7164">
        <w:rPr>
          <w:sz w:val="24"/>
          <w:szCs w:val="24"/>
        </w:rPr>
        <w:t xml:space="preserve">, </w:t>
      </w:r>
      <w:r w:rsidR="002561B2" w:rsidRPr="002561B2">
        <w:rPr>
          <w:sz w:val="24"/>
          <w:szCs w:val="24"/>
        </w:rPr>
        <w:t>dbeezhold@gmail.com</w:t>
      </w:r>
    </w:p>
    <w:p w14:paraId="6199E665" w14:textId="6B7C7B02" w:rsidR="003E7164" w:rsidRDefault="00E662A2" w:rsidP="003E7164">
      <w:pPr>
        <w:rPr>
          <w:sz w:val="24"/>
          <w:szCs w:val="24"/>
        </w:rPr>
      </w:pPr>
      <w:r w:rsidRPr="003E7164">
        <w:rPr>
          <w:sz w:val="24"/>
          <w:szCs w:val="24"/>
        </w:rPr>
        <w:t>B</w:t>
      </w:r>
      <w:r w:rsidR="002561B2">
        <w:rPr>
          <w:sz w:val="24"/>
          <w:szCs w:val="24"/>
        </w:rPr>
        <w:t xml:space="preserve">rett </w:t>
      </w:r>
      <w:r w:rsidRPr="003E7164">
        <w:rPr>
          <w:sz w:val="24"/>
          <w:szCs w:val="24"/>
        </w:rPr>
        <w:t xml:space="preserve">J </w:t>
      </w:r>
      <w:r w:rsidR="003E7164" w:rsidRPr="003E7164">
        <w:rPr>
          <w:sz w:val="24"/>
          <w:szCs w:val="24"/>
        </w:rPr>
        <w:t xml:space="preserve">Green </w:t>
      </w:r>
      <w:r w:rsidR="003E7164" w:rsidRPr="003E7164">
        <w:rPr>
          <w:sz w:val="24"/>
          <w:szCs w:val="24"/>
          <w:vertAlign w:val="superscript"/>
        </w:rPr>
        <w:t>1,6</w:t>
      </w:r>
      <w:r w:rsidR="002561B2">
        <w:rPr>
          <w:sz w:val="24"/>
          <w:szCs w:val="24"/>
        </w:rPr>
        <w:t xml:space="preserve">, </w:t>
      </w:r>
      <w:r w:rsidR="002561B2" w:rsidRPr="002561B2">
        <w:rPr>
          <w:sz w:val="24"/>
          <w:szCs w:val="24"/>
        </w:rPr>
        <w:t>dox6@cdc.gov</w:t>
      </w:r>
    </w:p>
    <w:p w14:paraId="27AA294C" w14:textId="77777777" w:rsidR="002561B2" w:rsidRPr="003E7164" w:rsidRDefault="002561B2" w:rsidP="003E7164">
      <w:pPr>
        <w:rPr>
          <w:sz w:val="24"/>
          <w:szCs w:val="24"/>
        </w:rPr>
      </w:pPr>
    </w:p>
    <w:p w14:paraId="7FEA6920" w14:textId="77777777" w:rsidR="003E7164" w:rsidRPr="003E7164" w:rsidRDefault="003E7164" w:rsidP="003E7164">
      <w:pPr>
        <w:rPr>
          <w:sz w:val="24"/>
          <w:szCs w:val="24"/>
        </w:rPr>
      </w:pPr>
      <w:bookmarkStart w:id="2" w:name="_Hlk140655463"/>
      <w:bookmarkEnd w:id="1"/>
      <w:r w:rsidRPr="003E7164">
        <w:rPr>
          <w:sz w:val="24"/>
          <w:szCs w:val="24"/>
          <w:vertAlign w:val="superscript"/>
        </w:rPr>
        <w:t>1</w:t>
      </w:r>
      <w:r w:rsidRPr="003E7164">
        <w:rPr>
          <w:sz w:val="24"/>
          <w:szCs w:val="24"/>
        </w:rPr>
        <w:t xml:space="preserve">: Allergy and Clinical Immunology Branch, </w:t>
      </w:r>
      <w:bookmarkStart w:id="3" w:name="_Hlk141692691"/>
      <w:r w:rsidRPr="003E7164">
        <w:rPr>
          <w:sz w:val="24"/>
          <w:szCs w:val="24"/>
        </w:rPr>
        <w:t>Health Effects Laboratory Division, National Institute for Occupational Safety and Health, Centers for Disease Control and Prevention, Morgantown, WV, USA</w:t>
      </w:r>
      <w:bookmarkEnd w:id="3"/>
    </w:p>
    <w:p w14:paraId="5ECFDAB9" w14:textId="77777777" w:rsidR="003E7164" w:rsidRPr="003E7164" w:rsidRDefault="003E7164" w:rsidP="003E7164">
      <w:pPr>
        <w:rPr>
          <w:sz w:val="24"/>
          <w:szCs w:val="24"/>
        </w:rPr>
      </w:pPr>
      <w:r w:rsidRPr="003E7164">
        <w:rPr>
          <w:sz w:val="24"/>
          <w:szCs w:val="24"/>
          <w:vertAlign w:val="superscript"/>
        </w:rPr>
        <w:t>2</w:t>
      </w:r>
      <w:r w:rsidRPr="003E7164">
        <w:rPr>
          <w:sz w:val="24"/>
          <w:szCs w:val="24"/>
        </w:rPr>
        <w:t>: Department of Pharmacology &amp; Toxicology, Indiana University School of Medicine, Indianapolis, Indiana, USA</w:t>
      </w:r>
    </w:p>
    <w:p w14:paraId="6706CCD6" w14:textId="77777777" w:rsidR="003E7164" w:rsidRPr="003E7164" w:rsidRDefault="003E7164" w:rsidP="003E7164">
      <w:pPr>
        <w:rPr>
          <w:sz w:val="24"/>
          <w:szCs w:val="24"/>
        </w:rPr>
      </w:pPr>
      <w:r w:rsidRPr="003E7164">
        <w:rPr>
          <w:sz w:val="24"/>
          <w:szCs w:val="24"/>
          <w:vertAlign w:val="superscript"/>
        </w:rPr>
        <w:t>3</w:t>
      </w:r>
      <w:r w:rsidRPr="003E7164">
        <w:rPr>
          <w:sz w:val="24"/>
          <w:szCs w:val="24"/>
        </w:rPr>
        <w:t>: Department of Agrobiotechnology (IFA-Tulln), Institute of Bioanalytics and Agro-Metabolomics, University of Natural Resources and Life Sciences, Vienna, Austria</w:t>
      </w:r>
    </w:p>
    <w:p w14:paraId="0AED2196" w14:textId="77777777" w:rsidR="003E7164" w:rsidRPr="003E7164" w:rsidRDefault="003E7164" w:rsidP="003E7164">
      <w:pPr>
        <w:rPr>
          <w:sz w:val="24"/>
          <w:szCs w:val="24"/>
        </w:rPr>
      </w:pPr>
      <w:r w:rsidRPr="003E7164">
        <w:rPr>
          <w:sz w:val="24"/>
          <w:szCs w:val="24"/>
          <w:vertAlign w:val="superscript"/>
        </w:rPr>
        <w:t>4</w:t>
      </w:r>
      <w:r w:rsidRPr="003E7164">
        <w:rPr>
          <w:sz w:val="24"/>
          <w:szCs w:val="24"/>
        </w:rPr>
        <w:t>: Respiratory Health Division, National Institute for Occupational Safety and Health, Centers for Disease Control and Prevention, Morgantown, West Virginia, USA</w:t>
      </w:r>
    </w:p>
    <w:p w14:paraId="462E23ED" w14:textId="77777777" w:rsidR="003E7164" w:rsidRPr="003E7164" w:rsidRDefault="003E7164" w:rsidP="003E7164">
      <w:pPr>
        <w:rPr>
          <w:sz w:val="24"/>
          <w:szCs w:val="24"/>
        </w:rPr>
      </w:pPr>
      <w:r w:rsidRPr="003E7164">
        <w:rPr>
          <w:sz w:val="24"/>
          <w:szCs w:val="24"/>
          <w:vertAlign w:val="superscript"/>
        </w:rPr>
        <w:t>5</w:t>
      </w:r>
      <w:r w:rsidRPr="003E7164">
        <w:rPr>
          <w:sz w:val="24"/>
          <w:szCs w:val="24"/>
        </w:rPr>
        <w:t>: Division of Translational Toxicology, National Institute of Environmental Health Sciences, Research Triangle Park, North Carolina, USA.</w:t>
      </w:r>
    </w:p>
    <w:p w14:paraId="7E3066A3" w14:textId="6DE0D12C" w:rsidR="003E7164" w:rsidRPr="003E7164" w:rsidRDefault="003E7164" w:rsidP="003E7164">
      <w:pPr>
        <w:rPr>
          <w:sz w:val="24"/>
          <w:szCs w:val="24"/>
        </w:rPr>
      </w:pPr>
      <w:r w:rsidRPr="003E7164">
        <w:rPr>
          <w:sz w:val="24"/>
          <w:szCs w:val="24"/>
          <w:vertAlign w:val="superscript"/>
        </w:rPr>
        <w:t>6</w:t>
      </w:r>
      <w:r w:rsidRPr="003E7164">
        <w:rPr>
          <w:sz w:val="24"/>
          <w:szCs w:val="24"/>
        </w:rPr>
        <w:t>: Office of the Director</w:t>
      </w:r>
      <w:bookmarkEnd w:id="2"/>
      <w:r w:rsidRPr="003E7164">
        <w:rPr>
          <w:sz w:val="24"/>
          <w:szCs w:val="24"/>
        </w:rPr>
        <w:t>, Health Effects Laboratory Division, National Institute for Occupational Safety and Health, Centers for Disease Control and Prevention, Morgantown, WV, USA</w:t>
      </w:r>
    </w:p>
    <w:p w14:paraId="13ACB344" w14:textId="761DD8F0" w:rsidR="00284D50" w:rsidRPr="00261986" w:rsidRDefault="00731992" w:rsidP="003E7164">
      <w:pPr>
        <w:pStyle w:val="Heading1"/>
      </w:pPr>
      <w:r w:rsidRPr="00261986">
        <w:t>Contact</w:t>
      </w:r>
    </w:p>
    <w:p w14:paraId="620F3AA4" w14:textId="0229A7A9" w:rsidR="00731992" w:rsidRPr="00284D50" w:rsidRDefault="00731992" w:rsidP="00964C63">
      <w:r w:rsidRPr="00284D50">
        <w:t xml:space="preserve">For </w:t>
      </w:r>
      <w:r w:rsidR="000A5ADD" w:rsidRPr="00284D50">
        <w:t>further information, contact:</w:t>
      </w:r>
    </w:p>
    <w:p w14:paraId="535F739F" w14:textId="7584D9D3" w:rsidR="00D4371E" w:rsidRPr="00284D50" w:rsidRDefault="002616D7" w:rsidP="00964C63">
      <w:r w:rsidRPr="00284D50">
        <w:t>Allergy and Clinical Immunology Branch (ACIB), Health Effects Laboratory Division (HELD), National Institute for Occupational Safety and Health (NIOSH), Morgantown, WV</w:t>
      </w:r>
      <w:r w:rsidR="00A71371" w:rsidRPr="00A71371">
        <w:t>1000 Frederick Lane, Morgantown WV 26508</w:t>
      </w:r>
    </w:p>
    <w:p w14:paraId="3CDAECE6" w14:textId="66D341C1" w:rsidR="002A5BE7" w:rsidRPr="00284D50" w:rsidRDefault="002A5BE7" w:rsidP="00964C63"/>
    <w:sectPr w:rsidR="002A5BE7" w:rsidRPr="00284D50"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5761A" w14:textId="77777777" w:rsidR="00967821" w:rsidRDefault="00967821" w:rsidP="00964C63">
      <w:r>
        <w:separator/>
      </w:r>
    </w:p>
  </w:endnote>
  <w:endnote w:type="continuationSeparator" w:id="0">
    <w:p w14:paraId="526DE2FD" w14:textId="77777777" w:rsidR="00967821" w:rsidRDefault="00967821" w:rsidP="0096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FE5E8" w14:textId="77777777" w:rsidR="00967821" w:rsidRDefault="00967821" w:rsidP="00964C63">
      <w:r>
        <w:separator/>
      </w:r>
    </w:p>
  </w:footnote>
  <w:footnote w:type="continuationSeparator" w:id="0">
    <w:p w14:paraId="7BBF2F9F" w14:textId="77777777" w:rsidR="00967821" w:rsidRDefault="00967821" w:rsidP="00964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3373A"/>
    <w:multiLevelType w:val="hybridMultilevel"/>
    <w:tmpl w:val="B5E22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64A41"/>
    <w:multiLevelType w:val="hybridMultilevel"/>
    <w:tmpl w:val="C1D80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F23A2"/>
    <w:multiLevelType w:val="hybridMultilevel"/>
    <w:tmpl w:val="70A6E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41CF6"/>
    <w:multiLevelType w:val="hybridMultilevel"/>
    <w:tmpl w:val="7E5E6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051F0"/>
    <w:multiLevelType w:val="hybridMultilevel"/>
    <w:tmpl w:val="59F6C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178CD"/>
    <w:multiLevelType w:val="hybridMultilevel"/>
    <w:tmpl w:val="531A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1E6FC9"/>
    <w:multiLevelType w:val="hybridMultilevel"/>
    <w:tmpl w:val="7EA27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50326"/>
    <w:multiLevelType w:val="hybridMultilevel"/>
    <w:tmpl w:val="E4648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8D7162"/>
    <w:multiLevelType w:val="multilevel"/>
    <w:tmpl w:val="C610CDF8"/>
    <w:lvl w:ilvl="0">
      <w:start w:val="1"/>
      <w:numFmt w:val="upperRoman"/>
      <w:lvlText w:val="%1."/>
      <w:lvlJc w:val="left"/>
      <w:pPr>
        <w:ind w:left="1170" w:hanging="72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F1F354F"/>
    <w:multiLevelType w:val="hybridMultilevel"/>
    <w:tmpl w:val="C06A4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DC5B27"/>
    <w:multiLevelType w:val="hybridMultilevel"/>
    <w:tmpl w:val="E88E3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A064A2"/>
    <w:multiLevelType w:val="hybridMultilevel"/>
    <w:tmpl w:val="FE1AF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E8108E"/>
    <w:multiLevelType w:val="hybridMultilevel"/>
    <w:tmpl w:val="B2B8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976686">
    <w:abstractNumId w:val="4"/>
  </w:num>
  <w:num w:numId="2" w16cid:durableId="1983806367">
    <w:abstractNumId w:val="6"/>
  </w:num>
  <w:num w:numId="3" w16cid:durableId="853423310">
    <w:abstractNumId w:val="5"/>
  </w:num>
  <w:num w:numId="4" w16cid:durableId="1447232344">
    <w:abstractNumId w:val="1"/>
  </w:num>
  <w:num w:numId="5" w16cid:durableId="412894221">
    <w:abstractNumId w:val="7"/>
  </w:num>
  <w:num w:numId="6" w16cid:durableId="1340235858">
    <w:abstractNumId w:val="12"/>
  </w:num>
  <w:num w:numId="7" w16cid:durableId="1502769154">
    <w:abstractNumId w:val="3"/>
  </w:num>
  <w:num w:numId="8" w16cid:durableId="365756460">
    <w:abstractNumId w:val="10"/>
  </w:num>
  <w:num w:numId="9" w16cid:durableId="237448826">
    <w:abstractNumId w:val="9"/>
  </w:num>
  <w:num w:numId="10" w16cid:durableId="1082797506">
    <w:abstractNumId w:val="11"/>
  </w:num>
  <w:num w:numId="11" w16cid:durableId="1855073348">
    <w:abstractNumId w:val="8"/>
  </w:num>
  <w:num w:numId="12" w16cid:durableId="447553919">
    <w:abstractNumId w:val="0"/>
  </w:num>
  <w:num w:numId="13" w16cid:durableId="372509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1E"/>
    <w:rsid w:val="000A5ADD"/>
    <w:rsid w:val="000E7F92"/>
    <w:rsid w:val="00164F94"/>
    <w:rsid w:val="001669CB"/>
    <w:rsid w:val="001E4FA2"/>
    <w:rsid w:val="002174E4"/>
    <w:rsid w:val="0025279B"/>
    <w:rsid w:val="002561B2"/>
    <w:rsid w:val="002616D7"/>
    <w:rsid w:val="00261986"/>
    <w:rsid w:val="00284D50"/>
    <w:rsid w:val="002A5BE7"/>
    <w:rsid w:val="003323FD"/>
    <w:rsid w:val="00350BC1"/>
    <w:rsid w:val="00394010"/>
    <w:rsid w:val="003A68AE"/>
    <w:rsid w:val="003B4737"/>
    <w:rsid w:val="003E7164"/>
    <w:rsid w:val="00405F2B"/>
    <w:rsid w:val="00407981"/>
    <w:rsid w:val="00414841"/>
    <w:rsid w:val="00422986"/>
    <w:rsid w:val="004B7AC2"/>
    <w:rsid w:val="004D5E04"/>
    <w:rsid w:val="00574F9B"/>
    <w:rsid w:val="00582C24"/>
    <w:rsid w:val="005E71D3"/>
    <w:rsid w:val="005F4BBF"/>
    <w:rsid w:val="00620395"/>
    <w:rsid w:val="00633119"/>
    <w:rsid w:val="00635340"/>
    <w:rsid w:val="006761B3"/>
    <w:rsid w:val="006E76EF"/>
    <w:rsid w:val="00711CB9"/>
    <w:rsid w:val="007211D4"/>
    <w:rsid w:val="00731992"/>
    <w:rsid w:val="007B6EAE"/>
    <w:rsid w:val="007C2BC1"/>
    <w:rsid w:val="00890B34"/>
    <w:rsid w:val="008B462B"/>
    <w:rsid w:val="00964C63"/>
    <w:rsid w:val="00967821"/>
    <w:rsid w:val="00973610"/>
    <w:rsid w:val="009915F7"/>
    <w:rsid w:val="009B45FE"/>
    <w:rsid w:val="009F2E47"/>
    <w:rsid w:val="00A106AE"/>
    <w:rsid w:val="00A221D0"/>
    <w:rsid w:val="00A71371"/>
    <w:rsid w:val="00AB6E82"/>
    <w:rsid w:val="00B621BE"/>
    <w:rsid w:val="00B631B7"/>
    <w:rsid w:val="00B73D3F"/>
    <w:rsid w:val="00BC6AE3"/>
    <w:rsid w:val="00C343CF"/>
    <w:rsid w:val="00C37613"/>
    <w:rsid w:val="00C65D89"/>
    <w:rsid w:val="00CE573E"/>
    <w:rsid w:val="00D1565A"/>
    <w:rsid w:val="00D17C84"/>
    <w:rsid w:val="00D26908"/>
    <w:rsid w:val="00D334DC"/>
    <w:rsid w:val="00D4371E"/>
    <w:rsid w:val="00DA2D7A"/>
    <w:rsid w:val="00DA7FB7"/>
    <w:rsid w:val="00DF357E"/>
    <w:rsid w:val="00E12577"/>
    <w:rsid w:val="00E569F2"/>
    <w:rsid w:val="00E662A2"/>
    <w:rsid w:val="00E956BE"/>
    <w:rsid w:val="00EB02E9"/>
    <w:rsid w:val="00EB4A97"/>
    <w:rsid w:val="00F21872"/>
    <w:rsid w:val="00F63771"/>
    <w:rsid w:val="00F67E1D"/>
    <w:rsid w:val="00FC70C6"/>
    <w:rsid w:val="00FF5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47B83EE"/>
  <w15:chartTrackingRefBased/>
  <w15:docId w15:val="{25A4D72D-F108-4E6A-85C6-9FD5F41C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F2B"/>
    <w:pPr>
      <w:spacing w:line="360" w:lineRule="auto"/>
    </w:pPr>
    <w:rPr>
      <w:rFonts w:ascii="Arial" w:hAnsi="Arial" w:cs="Arial"/>
    </w:rPr>
  </w:style>
  <w:style w:type="paragraph" w:styleId="Heading1">
    <w:name w:val="heading 1"/>
    <w:basedOn w:val="Normal"/>
    <w:next w:val="Normal"/>
    <w:link w:val="Heading1Char"/>
    <w:uiPriority w:val="9"/>
    <w:qFormat/>
    <w:rsid w:val="00964C63"/>
    <w:pPr>
      <w:keepNext/>
      <w:keepLines/>
      <w:spacing w:before="240" w:after="0"/>
      <w:outlineLvl w:val="0"/>
    </w:pPr>
    <w:rPr>
      <w:rFonts w:eastAsiaTheme="majorEastAsia"/>
      <w:b/>
      <w:bCs/>
      <w:color w:val="000000" w:themeColor="text1"/>
      <w:sz w:val="32"/>
      <w:szCs w:val="32"/>
      <w:lang w:val="en"/>
    </w:rPr>
  </w:style>
  <w:style w:type="paragraph" w:styleId="Heading2">
    <w:name w:val="heading 2"/>
    <w:basedOn w:val="Normal"/>
    <w:next w:val="Normal"/>
    <w:link w:val="Heading2Char"/>
    <w:uiPriority w:val="9"/>
    <w:unhideWhenUsed/>
    <w:qFormat/>
    <w:rsid w:val="002A5B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71E"/>
    <w:rPr>
      <w:color w:val="0563C1" w:themeColor="hyperlink"/>
      <w:u w:val="single"/>
    </w:rPr>
  </w:style>
  <w:style w:type="paragraph" w:styleId="ListParagraph">
    <w:name w:val="List Paragraph"/>
    <w:basedOn w:val="Normal"/>
    <w:uiPriority w:val="34"/>
    <w:qFormat/>
    <w:rsid w:val="00D1565A"/>
    <w:pPr>
      <w:ind w:left="720"/>
      <w:contextualSpacing/>
    </w:pPr>
  </w:style>
  <w:style w:type="character" w:styleId="UnresolvedMention">
    <w:name w:val="Unresolved Mention"/>
    <w:basedOn w:val="DefaultParagraphFont"/>
    <w:uiPriority w:val="99"/>
    <w:semiHidden/>
    <w:unhideWhenUsed/>
    <w:rsid w:val="00890B34"/>
    <w:rPr>
      <w:color w:val="605E5C"/>
      <w:shd w:val="clear" w:color="auto" w:fill="E1DFDD"/>
    </w:rPr>
  </w:style>
  <w:style w:type="character" w:customStyle="1" w:styleId="Heading2Char">
    <w:name w:val="Heading 2 Char"/>
    <w:basedOn w:val="DefaultParagraphFont"/>
    <w:link w:val="Heading2"/>
    <w:uiPriority w:val="9"/>
    <w:rsid w:val="002A5BE7"/>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64C63"/>
    <w:rPr>
      <w:rFonts w:ascii="Arial" w:eastAsiaTheme="majorEastAsia" w:hAnsi="Arial" w:cs="Arial"/>
      <w:b/>
      <w:bCs/>
      <w:color w:val="000000" w:themeColor="text1"/>
      <w:sz w:val="32"/>
      <w:szCs w:val="32"/>
      <w:lang w:val="en"/>
    </w:rPr>
  </w:style>
  <w:style w:type="paragraph" w:customStyle="1" w:styleId="MDPI17abstract">
    <w:name w:val="MDPI_1.7_abstract"/>
    <w:next w:val="Normal"/>
    <w:qFormat/>
    <w:rsid w:val="00964C63"/>
    <w:pPr>
      <w:adjustRightInd w:val="0"/>
      <w:snapToGrid w:val="0"/>
      <w:spacing w:before="240" w:after="0" w:line="260" w:lineRule="atLeast"/>
      <w:ind w:left="2608"/>
      <w:jc w:val="both"/>
    </w:pPr>
    <w:rPr>
      <w:rFonts w:ascii="Palatino Linotype" w:eastAsia="Times New Roman" w:hAnsi="Palatino Linotype" w:cs="Times New Roman"/>
      <w:color w:val="000000"/>
      <w:sz w:val="18"/>
      <w:lang w:eastAsia="de-DE" w:bidi="en-US"/>
    </w:rPr>
  </w:style>
  <w:style w:type="paragraph" w:styleId="Revision">
    <w:name w:val="Revision"/>
    <w:hidden/>
    <w:uiPriority w:val="99"/>
    <w:semiHidden/>
    <w:rsid w:val="004B7AC2"/>
    <w:pPr>
      <w:spacing w:after="0" w:line="240" w:lineRule="auto"/>
    </w:pPr>
    <w:rPr>
      <w:rFonts w:ascii="Arial" w:hAnsi="Arial" w:cs="Arial"/>
    </w:rPr>
  </w:style>
  <w:style w:type="character" w:styleId="CommentReference">
    <w:name w:val="annotation reference"/>
    <w:basedOn w:val="DefaultParagraphFont"/>
    <w:uiPriority w:val="99"/>
    <w:semiHidden/>
    <w:unhideWhenUsed/>
    <w:rsid w:val="004B7AC2"/>
    <w:rPr>
      <w:sz w:val="16"/>
      <w:szCs w:val="16"/>
    </w:rPr>
  </w:style>
  <w:style w:type="paragraph" w:styleId="CommentText">
    <w:name w:val="annotation text"/>
    <w:basedOn w:val="Normal"/>
    <w:link w:val="CommentTextChar"/>
    <w:uiPriority w:val="99"/>
    <w:unhideWhenUsed/>
    <w:rsid w:val="004B7AC2"/>
    <w:pPr>
      <w:spacing w:line="240" w:lineRule="auto"/>
    </w:pPr>
    <w:rPr>
      <w:sz w:val="20"/>
      <w:szCs w:val="20"/>
    </w:rPr>
  </w:style>
  <w:style w:type="character" w:customStyle="1" w:styleId="CommentTextChar">
    <w:name w:val="Comment Text Char"/>
    <w:basedOn w:val="DefaultParagraphFont"/>
    <w:link w:val="CommentText"/>
    <w:uiPriority w:val="99"/>
    <w:rsid w:val="004B7AC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B7AC2"/>
    <w:rPr>
      <w:b/>
      <w:bCs/>
    </w:rPr>
  </w:style>
  <w:style w:type="character" w:customStyle="1" w:styleId="CommentSubjectChar">
    <w:name w:val="Comment Subject Char"/>
    <w:basedOn w:val="CommentTextChar"/>
    <w:link w:val="CommentSubject"/>
    <w:uiPriority w:val="99"/>
    <w:semiHidden/>
    <w:rsid w:val="004B7AC2"/>
    <w:rPr>
      <w:rFonts w:ascii="Arial" w:hAnsi="Arial" w:cs="Arial"/>
      <w:b/>
      <w:bCs/>
      <w:sz w:val="20"/>
      <w:szCs w:val="20"/>
    </w:rPr>
  </w:style>
  <w:style w:type="paragraph" w:customStyle="1" w:styleId="MDPI14history">
    <w:name w:val="MDPI_1.4_history"/>
    <w:basedOn w:val="Normal"/>
    <w:next w:val="Normal"/>
    <w:qFormat/>
    <w:rsid w:val="003E7164"/>
    <w:pPr>
      <w:adjustRightInd w:val="0"/>
      <w:snapToGrid w:val="0"/>
      <w:spacing w:after="0" w:line="240" w:lineRule="atLeast"/>
      <w:ind w:right="113"/>
    </w:pPr>
    <w:rPr>
      <w:rFonts w:ascii="Palatino Linotype" w:eastAsia="Times New Roman" w:hAnsi="Palatino Linotype" w:cs="Times New Roman"/>
      <w:color w:val="000000"/>
      <w:sz w:val="14"/>
      <w:szCs w:val="20"/>
      <w:lang w:eastAsia="de-DE" w:bidi="en-US"/>
    </w:rPr>
  </w:style>
  <w:style w:type="paragraph" w:customStyle="1" w:styleId="MDPI61Citation">
    <w:name w:val="MDPI_6.1_Citation"/>
    <w:qFormat/>
    <w:rsid w:val="003E7164"/>
    <w:pPr>
      <w:adjustRightInd w:val="0"/>
      <w:snapToGrid w:val="0"/>
      <w:spacing w:after="0" w:line="240" w:lineRule="atLeast"/>
      <w:ind w:right="113"/>
    </w:pPr>
    <w:rPr>
      <w:rFonts w:ascii="Palatino Linotype" w:eastAsia="SimSun" w:hAnsi="Palatino Linotype" w:cs="Cordia New"/>
      <w:sz w:val="14"/>
      <w:lang w:eastAsia="zh-CN"/>
    </w:rPr>
  </w:style>
  <w:style w:type="paragraph" w:customStyle="1" w:styleId="MDPI15academiceditor">
    <w:name w:val="MDPI_1.5_academic_editor"/>
    <w:qFormat/>
    <w:rsid w:val="003E7164"/>
    <w:pPr>
      <w:adjustRightInd w:val="0"/>
      <w:snapToGrid w:val="0"/>
      <w:spacing w:before="120" w:after="0" w:line="240" w:lineRule="atLeast"/>
      <w:ind w:right="113"/>
    </w:pPr>
    <w:rPr>
      <w:rFonts w:ascii="Palatino Linotype" w:eastAsia="Times New Roman" w:hAnsi="Palatino Linotype" w:cs="Times New Roman"/>
      <w:color w:val="000000"/>
      <w:sz w:val="14"/>
      <w:lang w:eastAsia="de-DE" w:bidi="en-US"/>
    </w:rPr>
  </w:style>
  <w:style w:type="paragraph" w:customStyle="1" w:styleId="MDPI72Copyright">
    <w:name w:val="MDPI_7.2_Copyright"/>
    <w:qFormat/>
    <w:rsid w:val="003E7164"/>
    <w:pPr>
      <w:adjustRightInd w:val="0"/>
      <w:snapToGrid w:val="0"/>
      <w:spacing w:before="60" w:after="0" w:line="240" w:lineRule="atLeast"/>
      <w:ind w:right="113"/>
      <w:jc w:val="both"/>
    </w:pPr>
    <w:rPr>
      <w:rFonts w:ascii="Palatino Linotype" w:eastAsia="Times New Roman" w:hAnsi="Palatino Linotype" w:cs="Times New Roman"/>
      <w:noProof/>
      <w:snapToGrid w:val="0"/>
      <w:color w:val="000000"/>
      <w:sz w:val="1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36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933</Words>
  <Characters>6826</Characters>
  <Application>Microsoft Office Word</Application>
  <DocSecurity>0</DocSecurity>
  <Lines>1137</Lines>
  <Paragraphs>862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Qiang (CDC/NIOSH/HELD/TMBB)</dc:creator>
  <cp:keywords/>
  <dc:description/>
  <cp:lastModifiedBy>Strahin, Jennifer (CDC/NIOSH/HELD)</cp:lastModifiedBy>
  <cp:revision>4</cp:revision>
  <dcterms:created xsi:type="dcterms:W3CDTF">2023-09-29T17:18:00Z</dcterms:created>
  <dcterms:modified xsi:type="dcterms:W3CDTF">2023-12-05T13:00:00Z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2021-10-13T17:39:16Z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dbf4cf98-4ba2-4a07-bf38-b26c7d757857</vt:lpwstr>
  </property>
  <property fmtid="{D5CDD505-2E9C-101B-9397-08002B2CF9AE}" pid="8" name="MSIP_Label_7b94a7b8-f06c-4dfe-bdcc-9b548fd58c31_ContentBits">
    <vt:lpwstr>0</vt:lpwstr>
  </property>
</Properties>
</file>