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1B0E" w14:textId="58B95425" w:rsidR="00B82E6D" w:rsidRDefault="00B82E6D" w:rsidP="00B82E6D">
      <w:pPr>
        <w:widowControl w:val="0"/>
        <w:tabs>
          <w:tab w:val="left" w:pos="360"/>
        </w:tabs>
        <w:jc w:val="both"/>
        <w:rPr>
          <w:rFonts w:cs="Arial"/>
          <w:b/>
          <w:bCs/>
          <w:sz w:val="24"/>
          <w:szCs w:val="24"/>
        </w:rPr>
      </w:pPr>
      <w:r w:rsidRPr="007C3486">
        <w:rPr>
          <w:rFonts w:cs="Arial"/>
          <w:b/>
          <w:bCs/>
          <w:sz w:val="24"/>
          <w:szCs w:val="24"/>
        </w:rPr>
        <w:t>4,4’-Methylene Diphenyl Diisocyanate Exposure Induces Expression of Alternative</w:t>
      </w:r>
      <w:r>
        <w:rPr>
          <w:rFonts w:cs="Arial"/>
          <w:b/>
          <w:bCs/>
          <w:sz w:val="24"/>
          <w:szCs w:val="24"/>
        </w:rPr>
        <w:t>ly</w:t>
      </w:r>
      <w:r w:rsidRPr="007C3486">
        <w:rPr>
          <w:rFonts w:cs="Arial"/>
          <w:b/>
          <w:bCs/>
          <w:sz w:val="24"/>
          <w:szCs w:val="24"/>
        </w:rPr>
        <w:t xml:space="preserve"> Activated Macrophage-Associated Markers and Chemokines Partially Through Krüppel-Like Factor 4 Mediated Signaling in Macrophages</w:t>
      </w:r>
    </w:p>
    <w:p w14:paraId="58DDE815" w14:textId="403D758A" w:rsidR="005F0063" w:rsidRDefault="005F0063" w:rsidP="00B82E6D">
      <w:pPr>
        <w:widowControl w:val="0"/>
        <w:tabs>
          <w:tab w:val="left" w:pos="360"/>
        </w:tabs>
        <w:jc w:val="both"/>
        <w:rPr>
          <w:rFonts w:cs="Arial"/>
          <w:b/>
          <w:bCs/>
          <w:sz w:val="24"/>
          <w:szCs w:val="24"/>
        </w:rPr>
      </w:pPr>
      <w:r>
        <w:rPr>
          <w:rFonts w:cs="Arial"/>
          <w:b/>
          <w:bCs/>
          <w:sz w:val="24"/>
          <w:szCs w:val="24"/>
        </w:rPr>
        <w:t>Dataset Number RD-1077-2023-0</w:t>
      </w:r>
    </w:p>
    <w:p w14:paraId="1C3AE465" w14:textId="77777777" w:rsidR="00B82E6D" w:rsidRPr="0032371F" w:rsidRDefault="00B82E6D" w:rsidP="00B82E6D">
      <w:pPr>
        <w:widowControl w:val="0"/>
        <w:tabs>
          <w:tab w:val="left" w:pos="360"/>
        </w:tabs>
        <w:jc w:val="both"/>
        <w:rPr>
          <w:rFonts w:cstheme="minorHAnsi"/>
          <w:b/>
          <w:bCs/>
        </w:rPr>
      </w:pPr>
      <w:r w:rsidRPr="0032371F">
        <w:rPr>
          <w:rFonts w:cstheme="minorHAnsi"/>
          <w:b/>
          <w:bCs/>
        </w:rPr>
        <w:t>Introduction</w:t>
      </w:r>
    </w:p>
    <w:p w14:paraId="1A58B748" w14:textId="77777777" w:rsidR="00B82E6D" w:rsidRPr="00E25C87" w:rsidRDefault="00B82E6D" w:rsidP="00B82E6D">
      <w:pPr>
        <w:ind w:firstLine="720"/>
        <w:jc w:val="both"/>
        <w:rPr>
          <w:color w:val="FF0000"/>
        </w:rPr>
      </w:pPr>
      <w:r w:rsidRPr="00F36968">
        <w:t>Exposure to 4,4’-methylene diphenyl diisocyanate (MDI), the most widely used monomeric diisocyanate, in the occupational setting may lead to the development of occupational asthma (OA). Currently, the underlying molecular mechanism(s) by which MDI induces OA remain an active area of research. Alveolar macrophage dysfunctions play important roles in asthma pathogenesis. Upon exposure to outside stimuli, macrophages are polarized into either classically activated (M1) or alternatively activated (M2) phenotypes. Macrophage polarization is associated with asthma development where M2 macrophage population</w:t>
      </w:r>
      <w:r>
        <w:t>s</w:t>
      </w:r>
      <w:r w:rsidRPr="00F36968">
        <w:t xml:space="preserve"> are usually pronounced in lungs of asthmatic patients. Recent </w:t>
      </w:r>
      <w:r w:rsidRPr="00FC4570">
        <w:rPr>
          <w:i/>
          <w:iCs/>
        </w:rPr>
        <w:t>in vivo</w:t>
      </w:r>
      <w:r w:rsidRPr="00F36968">
        <w:t xml:space="preserve"> studies demonstrated that M2 macrophage associated markers and chemokines were induced by MDI exposure, indicating that MDI may induce M2 macrophage polarization; however, the underling molecular mechanism(s) by which MDI cause</w:t>
      </w:r>
      <w:r>
        <w:t>s</w:t>
      </w:r>
      <w:r w:rsidRPr="00F36968">
        <w:t xml:space="preserve"> induction of M2 associated markers and chemokines is unclear. M2 macrophage polarization can be regulated by activation of several M2 associated transcription factors; however, whether MDI exposure regulates these transcription factors is unknown. We hypothesize that MDI exposure induces M2 macrophage associate markers and chemokines through upregulation of M2 macrophage</w:t>
      </w:r>
      <w:r>
        <w:t>-</w:t>
      </w:r>
      <w:r w:rsidRPr="00F36968">
        <w:t xml:space="preserve">associated transcription factors in macrophages. The first aim of this study </w:t>
      </w:r>
      <w:r>
        <w:t>is</w:t>
      </w:r>
      <w:r w:rsidRPr="00F36968">
        <w:t xml:space="preserve"> to verify whether MDI-exposure can induce M2 macrophage</w:t>
      </w:r>
      <w:r>
        <w:t>-</w:t>
      </w:r>
      <w:r w:rsidRPr="00F36968">
        <w:t xml:space="preserve">associated markers and chemokine expression that </w:t>
      </w:r>
      <w:r>
        <w:t xml:space="preserve">were </w:t>
      </w:r>
      <w:r w:rsidRPr="00F36968">
        <w:t xml:space="preserve">observed in previous studies and </w:t>
      </w:r>
      <w:r>
        <w:t xml:space="preserve">to </w:t>
      </w:r>
      <w:r w:rsidRPr="00F36968">
        <w:t>identify candidate M2 macrophage</w:t>
      </w:r>
      <w:r>
        <w:t>-</w:t>
      </w:r>
      <w:r w:rsidRPr="00F36968">
        <w:t xml:space="preserve">associated transcription factors </w:t>
      </w:r>
      <w:r>
        <w:t>in</w:t>
      </w:r>
      <w:r w:rsidRPr="00F36968">
        <w:t xml:space="preserve"> response to MDI exposure </w:t>
      </w:r>
      <w:r>
        <w:t>that</w:t>
      </w:r>
      <w:r w:rsidRPr="00F36968">
        <w:t xml:space="preserve"> may account for the</w:t>
      </w:r>
      <w:r>
        <w:t xml:space="preserve"> in</w:t>
      </w:r>
      <w:r w:rsidRPr="00F36968">
        <w:t xml:space="preserve"> M2 macrophage polarization. After identifi</w:t>
      </w:r>
      <w:r>
        <w:t xml:space="preserve">cation of </w:t>
      </w:r>
      <w:r w:rsidRPr="00F36968">
        <w:t>the candidate transcription factor</w:t>
      </w:r>
      <w:r>
        <w:t>(</w:t>
      </w:r>
      <w:r w:rsidRPr="00F36968">
        <w:t>s</w:t>
      </w:r>
      <w:r>
        <w:t>)</w:t>
      </w:r>
      <w:r w:rsidRPr="00F36968">
        <w:t xml:space="preserve"> that can be regulated by MDI-exposure, we investigate the roles of </w:t>
      </w:r>
      <w:r>
        <w:t xml:space="preserve">the </w:t>
      </w:r>
      <w:r w:rsidRPr="00F36968">
        <w:t xml:space="preserve">candidate transcription factor in regulation of these candidate M2 macrophage associate markers and chemokines in relation to the exposure to MDI. </w:t>
      </w:r>
    </w:p>
    <w:p w14:paraId="587C0EA9" w14:textId="77777777" w:rsidR="00B82E6D" w:rsidRDefault="00B82E6D" w:rsidP="00B82E6D">
      <w:pPr>
        <w:widowControl w:val="0"/>
        <w:tabs>
          <w:tab w:val="left" w:pos="360"/>
        </w:tabs>
        <w:jc w:val="both"/>
        <w:rPr>
          <w:rFonts w:cstheme="minorHAnsi"/>
          <w:b/>
          <w:bCs/>
        </w:rPr>
      </w:pPr>
    </w:p>
    <w:p w14:paraId="2A4B4A81" w14:textId="77777777" w:rsidR="00B82E6D" w:rsidRDefault="00B82E6D" w:rsidP="00B82E6D">
      <w:pPr>
        <w:widowControl w:val="0"/>
        <w:tabs>
          <w:tab w:val="left" w:pos="360"/>
        </w:tabs>
        <w:jc w:val="both"/>
        <w:rPr>
          <w:rFonts w:cstheme="minorHAnsi"/>
          <w:b/>
          <w:bCs/>
        </w:rPr>
      </w:pPr>
      <w:r w:rsidRPr="00FA159B">
        <w:rPr>
          <w:rFonts w:cstheme="minorHAnsi"/>
          <w:b/>
          <w:bCs/>
        </w:rPr>
        <w:t>Methods Collection</w:t>
      </w:r>
    </w:p>
    <w:p w14:paraId="2575F9ED" w14:textId="77777777" w:rsidR="00B82E6D" w:rsidRDefault="00B82E6D" w:rsidP="00B82E6D">
      <w:pPr>
        <w:pStyle w:val="ListParagraph"/>
        <w:widowControl w:val="0"/>
        <w:numPr>
          <w:ilvl w:val="0"/>
          <w:numId w:val="2"/>
        </w:numPr>
        <w:tabs>
          <w:tab w:val="left" w:pos="360"/>
        </w:tabs>
        <w:jc w:val="both"/>
        <w:rPr>
          <w:rFonts w:cstheme="minorHAnsi"/>
        </w:rPr>
      </w:pPr>
      <w:r w:rsidRPr="005B5773">
        <w:rPr>
          <w:rFonts w:cstheme="minorHAnsi"/>
        </w:rPr>
        <w:t>Bronchoalveolar lavage cells (BALCs)</w:t>
      </w:r>
      <w:r>
        <w:rPr>
          <w:rFonts w:cstheme="minorHAnsi"/>
        </w:rPr>
        <w:t xml:space="preserve"> RNA</w:t>
      </w:r>
      <w:r w:rsidRPr="005B5773">
        <w:rPr>
          <w:rFonts w:cstheme="minorHAnsi"/>
        </w:rPr>
        <w:t xml:space="preserve"> from </w:t>
      </w:r>
      <w:r>
        <w:rPr>
          <w:rFonts w:cstheme="minorHAnsi"/>
        </w:rPr>
        <w:t xml:space="preserve">mice with </w:t>
      </w:r>
      <w:r w:rsidRPr="007C3486">
        <w:rPr>
          <w:rFonts w:cstheme="minorHAnsi"/>
        </w:rPr>
        <w:t>combined dermal/respiratory MDI exposur</w:t>
      </w:r>
      <w:r>
        <w:rPr>
          <w:rFonts w:cstheme="minorHAnsi"/>
        </w:rPr>
        <w:t>e</w:t>
      </w:r>
    </w:p>
    <w:p w14:paraId="3A01C261" w14:textId="77777777" w:rsidR="00B82E6D" w:rsidRPr="001E1EBE" w:rsidRDefault="00B82E6D" w:rsidP="00B82E6D">
      <w:pPr>
        <w:pStyle w:val="ListParagraph"/>
        <w:widowControl w:val="0"/>
        <w:numPr>
          <w:ilvl w:val="1"/>
          <w:numId w:val="2"/>
        </w:numPr>
        <w:tabs>
          <w:tab w:val="left" w:pos="360"/>
        </w:tabs>
        <w:jc w:val="both"/>
        <w:rPr>
          <w:rFonts w:cstheme="minorHAnsi"/>
        </w:rPr>
      </w:pPr>
      <w:r w:rsidRPr="001E1EBE">
        <w:rPr>
          <w:rFonts w:cstheme="minorHAnsi"/>
        </w:rPr>
        <w:t xml:space="preserve">Total RNA was isolated from </w:t>
      </w:r>
      <w:r>
        <w:rPr>
          <w:rFonts w:cstheme="minorHAnsi"/>
        </w:rPr>
        <w:t>st</w:t>
      </w:r>
      <w:r w:rsidRPr="001E1EBE">
        <w:rPr>
          <w:rFonts w:cstheme="minorHAnsi"/>
        </w:rPr>
        <w:t>ored BALC</w:t>
      </w:r>
      <w:r>
        <w:rPr>
          <w:rFonts w:cstheme="minorHAnsi"/>
        </w:rPr>
        <w:t>s</w:t>
      </w:r>
      <w:r w:rsidRPr="001E1EBE">
        <w:rPr>
          <w:rFonts w:cstheme="minorHAnsi"/>
        </w:rPr>
        <w:t xml:space="preserve"> from previous studies using animals’ dermal exposure to MDI or vehicle </w:t>
      </w:r>
      <w:r>
        <w:rPr>
          <w:rFonts w:cstheme="minorHAnsi"/>
        </w:rPr>
        <w:t xml:space="preserve">followed by </w:t>
      </w:r>
      <w:r w:rsidRPr="001E1EBE">
        <w:rPr>
          <w:rFonts w:cstheme="minorHAnsi"/>
        </w:rPr>
        <w:t xml:space="preserve">MDI-aerosol </w:t>
      </w:r>
      <w:r>
        <w:rPr>
          <w:rFonts w:cstheme="minorHAnsi"/>
        </w:rPr>
        <w:t>or house air inhaled</w:t>
      </w:r>
      <w:r w:rsidRPr="001E1EBE">
        <w:rPr>
          <w:rFonts w:cstheme="minorHAnsi"/>
        </w:rPr>
        <w:t xml:space="preserve"> mice. </w:t>
      </w:r>
    </w:p>
    <w:p w14:paraId="708ACF70" w14:textId="77777777" w:rsidR="00B82E6D" w:rsidRDefault="00B82E6D" w:rsidP="00B82E6D">
      <w:pPr>
        <w:pStyle w:val="ListParagraph"/>
        <w:widowControl w:val="0"/>
        <w:numPr>
          <w:ilvl w:val="1"/>
          <w:numId w:val="2"/>
        </w:numPr>
        <w:tabs>
          <w:tab w:val="left" w:pos="360"/>
        </w:tabs>
        <w:jc w:val="both"/>
        <w:rPr>
          <w:rFonts w:cstheme="minorHAnsi"/>
        </w:rPr>
      </w:pPr>
      <w:r>
        <w:rPr>
          <w:rFonts w:cstheme="minorHAnsi"/>
        </w:rPr>
        <w:t>MDI-dermal exposed BALB/c mice</w:t>
      </w:r>
      <w:r w:rsidRPr="00731046">
        <w:rPr>
          <w:rFonts w:cstheme="minorHAnsi"/>
        </w:rPr>
        <w:t xml:space="preserve"> were exposed to </w:t>
      </w:r>
      <w:r>
        <w:rPr>
          <w:rFonts w:cstheme="minorHAnsi"/>
        </w:rPr>
        <w:t xml:space="preserve">either </w:t>
      </w:r>
      <w:r w:rsidRPr="00731046">
        <w:rPr>
          <w:rFonts w:cstheme="minorHAnsi"/>
        </w:rPr>
        <w:t>4580 ± 1497 µg/m</w:t>
      </w:r>
      <w:r w:rsidRPr="000D61C7">
        <w:rPr>
          <w:rFonts w:cstheme="minorHAnsi"/>
          <w:vertAlign w:val="superscript"/>
        </w:rPr>
        <w:t>3</w:t>
      </w:r>
      <w:r w:rsidRPr="00731046">
        <w:rPr>
          <w:rFonts w:cstheme="minorHAnsi"/>
        </w:rPr>
        <w:t xml:space="preserve"> MDI aerosol or pure house air (control</w:t>
      </w:r>
      <w:r>
        <w:rPr>
          <w:rFonts w:cstheme="minorHAnsi"/>
        </w:rPr>
        <w:t xml:space="preserve">; </w:t>
      </w:r>
      <w:r w:rsidRPr="00731046">
        <w:rPr>
          <w:rFonts w:cstheme="minorHAnsi"/>
        </w:rPr>
        <w:t>Ctl) for 1 h followed by bronchoalveolar lavage at 24 h post-exposure</w:t>
      </w:r>
      <w:r>
        <w:rPr>
          <w:rFonts w:cstheme="minorHAnsi"/>
        </w:rPr>
        <w:t>.</w:t>
      </w:r>
    </w:p>
    <w:p w14:paraId="1844F17A" w14:textId="77777777" w:rsidR="00B82E6D" w:rsidRDefault="00B82E6D" w:rsidP="00B82E6D">
      <w:pPr>
        <w:pStyle w:val="ListParagraph"/>
        <w:widowControl w:val="0"/>
        <w:numPr>
          <w:ilvl w:val="0"/>
          <w:numId w:val="2"/>
        </w:numPr>
        <w:tabs>
          <w:tab w:val="left" w:pos="360"/>
        </w:tabs>
        <w:jc w:val="both"/>
        <w:rPr>
          <w:rFonts w:cstheme="minorHAnsi"/>
        </w:rPr>
      </w:pPr>
      <w:r w:rsidRPr="005B5773">
        <w:rPr>
          <w:rFonts w:cstheme="minorHAnsi"/>
        </w:rPr>
        <w:t>Cell culture and cell differentiation</w:t>
      </w:r>
    </w:p>
    <w:p w14:paraId="27F09D7A" w14:textId="77777777" w:rsidR="00B82E6D" w:rsidRDefault="00B82E6D" w:rsidP="00B82E6D">
      <w:pPr>
        <w:pStyle w:val="ListParagraph"/>
        <w:widowControl w:val="0"/>
        <w:numPr>
          <w:ilvl w:val="1"/>
          <w:numId w:val="2"/>
        </w:numPr>
        <w:tabs>
          <w:tab w:val="left" w:pos="360"/>
        </w:tabs>
        <w:jc w:val="both"/>
        <w:rPr>
          <w:rFonts w:cstheme="minorHAnsi"/>
        </w:rPr>
      </w:pPr>
      <w:r>
        <w:rPr>
          <w:rFonts w:cstheme="minorHAnsi"/>
        </w:rPr>
        <w:t xml:space="preserve">THP-1, Jurkat T-cells clone E6-1, and </w:t>
      </w:r>
      <w:r w:rsidRPr="001E1EBE">
        <w:rPr>
          <w:rFonts w:cstheme="minorHAnsi"/>
        </w:rPr>
        <w:t xml:space="preserve">Clone 15 HL-60 </w:t>
      </w:r>
      <w:r>
        <w:rPr>
          <w:rFonts w:cstheme="minorHAnsi"/>
        </w:rPr>
        <w:t>cells were obtained from ATCC.</w:t>
      </w:r>
    </w:p>
    <w:p w14:paraId="54D62816" w14:textId="77777777" w:rsidR="00B82E6D" w:rsidRDefault="00B82E6D" w:rsidP="00B82E6D">
      <w:pPr>
        <w:pStyle w:val="ListParagraph"/>
        <w:widowControl w:val="0"/>
        <w:numPr>
          <w:ilvl w:val="1"/>
          <w:numId w:val="2"/>
        </w:numPr>
        <w:tabs>
          <w:tab w:val="left" w:pos="360"/>
        </w:tabs>
        <w:jc w:val="both"/>
        <w:rPr>
          <w:rFonts w:cstheme="minorHAnsi"/>
        </w:rPr>
      </w:pPr>
      <w:r w:rsidRPr="00731046">
        <w:rPr>
          <w:rFonts w:cstheme="minorHAnsi"/>
        </w:rPr>
        <w:t>Enhanced differentiated THP-1 macrophages were prepared using</w:t>
      </w:r>
      <w:r>
        <w:rPr>
          <w:rFonts w:cstheme="minorHAnsi"/>
        </w:rPr>
        <w:t xml:space="preserve"> media containing 10 ng/ml </w:t>
      </w:r>
      <w:r w:rsidRPr="00A650B0">
        <w:rPr>
          <w:rFonts w:cstheme="minorHAnsi"/>
        </w:rPr>
        <w:t xml:space="preserve">phorbol 12-myristate 13-acetate </w:t>
      </w:r>
      <w:r>
        <w:rPr>
          <w:rFonts w:cstheme="minorHAnsi"/>
        </w:rPr>
        <w:t>(</w:t>
      </w:r>
      <w:r w:rsidRPr="00731046">
        <w:rPr>
          <w:rFonts w:cstheme="minorHAnsi"/>
        </w:rPr>
        <w:t>PMA</w:t>
      </w:r>
      <w:r>
        <w:rPr>
          <w:rFonts w:cstheme="minorHAnsi"/>
        </w:rPr>
        <w:t>)</w:t>
      </w:r>
      <w:r w:rsidRPr="00731046">
        <w:rPr>
          <w:rFonts w:cstheme="minorHAnsi"/>
        </w:rPr>
        <w:t xml:space="preserve"> to induce differentiation </w:t>
      </w:r>
      <w:r>
        <w:rPr>
          <w:rFonts w:cstheme="minorHAnsi"/>
        </w:rPr>
        <w:t>for 3 days and then enhanced by refeeding fresh media after removing PMA containing media for additional 3 days.</w:t>
      </w:r>
    </w:p>
    <w:p w14:paraId="36CCBADF" w14:textId="77777777" w:rsidR="00B82E6D" w:rsidRDefault="00B82E6D" w:rsidP="00B82E6D">
      <w:pPr>
        <w:pStyle w:val="ListParagraph"/>
        <w:widowControl w:val="0"/>
        <w:numPr>
          <w:ilvl w:val="1"/>
          <w:numId w:val="2"/>
        </w:numPr>
        <w:tabs>
          <w:tab w:val="left" w:pos="360"/>
        </w:tabs>
        <w:jc w:val="both"/>
        <w:rPr>
          <w:rFonts w:cstheme="minorHAnsi"/>
        </w:rPr>
      </w:pPr>
      <w:r>
        <w:rPr>
          <w:rFonts w:cstheme="minorHAnsi"/>
        </w:rPr>
        <w:t xml:space="preserve">Differentiated eosinophils were prepared by culturing </w:t>
      </w:r>
      <w:r w:rsidRPr="001E1EBE">
        <w:rPr>
          <w:rFonts w:cstheme="minorHAnsi"/>
        </w:rPr>
        <w:t xml:space="preserve">Clone 15 HL-60 </w:t>
      </w:r>
      <w:r>
        <w:rPr>
          <w:rFonts w:cstheme="minorHAnsi"/>
        </w:rPr>
        <w:t xml:space="preserve">cells in RPMI-1640 </w:t>
      </w:r>
      <w:r>
        <w:rPr>
          <w:rFonts w:cstheme="minorHAnsi"/>
        </w:rPr>
        <w:lastRenderedPageBreak/>
        <w:t xml:space="preserve">media containing 0.5mM butyric acid for 7 days.  </w:t>
      </w:r>
    </w:p>
    <w:p w14:paraId="6729BF8C" w14:textId="77777777" w:rsidR="00B82E6D" w:rsidRDefault="00B82E6D" w:rsidP="00B82E6D">
      <w:pPr>
        <w:pStyle w:val="ListParagraph"/>
        <w:widowControl w:val="0"/>
        <w:numPr>
          <w:ilvl w:val="0"/>
          <w:numId w:val="2"/>
        </w:numPr>
        <w:tabs>
          <w:tab w:val="left" w:pos="360"/>
        </w:tabs>
        <w:jc w:val="both"/>
        <w:rPr>
          <w:rFonts w:cstheme="minorHAnsi"/>
        </w:rPr>
      </w:pPr>
      <w:r w:rsidRPr="005B5773">
        <w:rPr>
          <w:rFonts w:cstheme="minorHAnsi"/>
        </w:rPr>
        <w:t>MDI-GSH conjugation</w:t>
      </w:r>
    </w:p>
    <w:p w14:paraId="47A64316" w14:textId="77777777" w:rsidR="00B82E6D" w:rsidRDefault="00B82E6D" w:rsidP="00B82E6D">
      <w:pPr>
        <w:pStyle w:val="ListParagraph"/>
        <w:widowControl w:val="0"/>
        <w:numPr>
          <w:ilvl w:val="1"/>
          <w:numId w:val="2"/>
        </w:numPr>
        <w:tabs>
          <w:tab w:val="left" w:pos="360"/>
        </w:tabs>
        <w:jc w:val="both"/>
        <w:rPr>
          <w:rFonts w:cstheme="minorHAnsi"/>
        </w:rPr>
      </w:pPr>
      <w:r>
        <w:rPr>
          <w:rFonts w:cstheme="minorHAnsi"/>
        </w:rPr>
        <w:t xml:space="preserve">10 mM </w:t>
      </w:r>
      <w:r w:rsidRPr="00352335">
        <w:rPr>
          <w:rFonts w:cstheme="minorHAnsi"/>
        </w:rPr>
        <w:t xml:space="preserve">GSH solution was prepared in </w:t>
      </w:r>
      <w:r>
        <w:rPr>
          <w:rFonts w:cstheme="minorHAnsi"/>
        </w:rPr>
        <w:t xml:space="preserve">200 mM </w:t>
      </w:r>
      <w:r w:rsidRPr="00352335">
        <w:rPr>
          <w:rFonts w:cstheme="minorHAnsi"/>
        </w:rPr>
        <w:t>sodium phosphate buffer</w:t>
      </w:r>
      <w:r>
        <w:rPr>
          <w:rFonts w:cstheme="minorHAnsi"/>
        </w:rPr>
        <w:t xml:space="preserve"> (pH= 7.4).</w:t>
      </w:r>
    </w:p>
    <w:p w14:paraId="50688C0A" w14:textId="77777777" w:rsidR="00B82E6D" w:rsidRPr="00D55564" w:rsidRDefault="00B82E6D" w:rsidP="00B82E6D">
      <w:pPr>
        <w:pStyle w:val="ListParagraph"/>
        <w:widowControl w:val="0"/>
        <w:numPr>
          <w:ilvl w:val="1"/>
          <w:numId w:val="2"/>
        </w:numPr>
        <w:tabs>
          <w:tab w:val="left" w:pos="360"/>
        </w:tabs>
        <w:jc w:val="both"/>
        <w:rPr>
          <w:rFonts w:cstheme="minorHAnsi"/>
        </w:rPr>
      </w:pPr>
      <w:r w:rsidRPr="00D55564">
        <w:rPr>
          <w:rFonts w:cstheme="minorHAnsi"/>
        </w:rPr>
        <w:t xml:space="preserve">MDI-GSH conjugation was prepared by adding MDI/acetone directly into GSH solution. End-to-end mixing for 1 h at 25 °C. </w:t>
      </w:r>
    </w:p>
    <w:p w14:paraId="55D14ECC" w14:textId="77777777" w:rsidR="00B82E6D" w:rsidRDefault="00B82E6D" w:rsidP="00B82E6D">
      <w:pPr>
        <w:pStyle w:val="ListParagraph"/>
        <w:widowControl w:val="0"/>
        <w:numPr>
          <w:ilvl w:val="0"/>
          <w:numId w:val="2"/>
        </w:numPr>
        <w:tabs>
          <w:tab w:val="left" w:pos="360"/>
        </w:tabs>
        <w:jc w:val="both"/>
        <w:rPr>
          <w:rFonts w:cstheme="minorHAnsi"/>
        </w:rPr>
      </w:pPr>
      <w:r>
        <w:rPr>
          <w:rFonts w:cstheme="minorHAnsi"/>
        </w:rPr>
        <w:t>KLF4</w:t>
      </w:r>
      <w:r w:rsidRPr="005B5773">
        <w:rPr>
          <w:rFonts w:cstheme="minorHAnsi"/>
        </w:rPr>
        <w:t xml:space="preserve"> overexpression</w:t>
      </w:r>
      <w:r>
        <w:rPr>
          <w:rFonts w:cstheme="minorHAnsi"/>
        </w:rPr>
        <w:t xml:space="preserve"> and knockdown</w:t>
      </w:r>
    </w:p>
    <w:p w14:paraId="59C8C8EA" w14:textId="77777777" w:rsidR="00B82E6D" w:rsidRDefault="00B82E6D" w:rsidP="00B82E6D">
      <w:pPr>
        <w:pStyle w:val="ListParagraph"/>
        <w:widowControl w:val="0"/>
        <w:numPr>
          <w:ilvl w:val="1"/>
          <w:numId w:val="2"/>
        </w:numPr>
        <w:tabs>
          <w:tab w:val="left" w:pos="360"/>
        </w:tabs>
        <w:jc w:val="both"/>
        <w:rPr>
          <w:rFonts w:cstheme="minorHAnsi"/>
        </w:rPr>
      </w:pPr>
      <w:r w:rsidRPr="00352335">
        <w:rPr>
          <w:rFonts w:cstheme="minorHAnsi"/>
        </w:rPr>
        <w:t>Plasmid DNA</w:t>
      </w:r>
      <w:r>
        <w:rPr>
          <w:rFonts w:cstheme="minorHAnsi"/>
        </w:rPr>
        <w:t>s</w:t>
      </w:r>
      <w:r w:rsidRPr="00352335">
        <w:rPr>
          <w:rFonts w:cstheme="minorHAnsi"/>
        </w:rPr>
        <w:t xml:space="preserve"> were transfected into THP-1 macrophages using Mirus </w:t>
      </w:r>
      <w:r w:rsidRPr="000C611B">
        <w:rPr>
          <w:rFonts w:cstheme="minorHAnsi"/>
          <w:i/>
          <w:iCs/>
        </w:rPr>
        <w:t>Trans</w:t>
      </w:r>
      <w:r w:rsidRPr="00352335">
        <w:rPr>
          <w:rFonts w:cstheme="minorHAnsi"/>
        </w:rPr>
        <w:t>IT</w:t>
      </w:r>
      <w:r w:rsidRPr="004F3484">
        <w:rPr>
          <w:rFonts w:cstheme="minorHAnsi"/>
        </w:rPr>
        <w:t>®</w:t>
      </w:r>
      <w:r w:rsidRPr="00352335">
        <w:rPr>
          <w:rFonts w:cstheme="minorHAnsi"/>
        </w:rPr>
        <w:t>-2020 transfection reagent according to</w:t>
      </w:r>
      <w:r>
        <w:rPr>
          <w:rFonts w:cstheme="minorHAnsi"/>
        </w:rPr>
        <w:t xml:space="preserve"> </w:t>
      </w:r>
      <w:r w:rsidRPr="00352335">
        <w:rPr>
          <w:rFonts w:cstheme="minorHAnsi"/>
        </w:rPr>
        <w:t>manufacturer’s instructions</w:t>
      </w:r>
      <w:r>
        <w:rPr>
          <w:rFonts w:cstheme="minorHAnsi"/>
        </w:rPr>
        <w:t>.</w:t>
      </w:r>
    </w:p>
    <w:p w14:paraId="06D0ACED" w14:textId="77777777" w:rsidR="00B82E6D" w:rsidRPr="00352335" w:rsidRDefault="00B82E6D" w:rsidP="00B82E6D">
      <w:pPr>
        <w:pStyle w:val="ListParagraph"/>
        <w:widowControl w:val="0"/>
        <w:numPr>
          <w:ilvl w:val="1"/>
          <w:numId w:val="2"/>
        </w:numPr>
        <w:tabs>
          <w:tab w:val="left" w:pos="360"/>
        </w:tabs>
        <w:jc w:val="both"/>
        <w:rPr>
          <w:rFonts w:cstheme="minorHAnsi"/>
        </w:rPr>
      </w:pPr>
      <w:r>
        <w:rPr>
          <w:rFonts w:cstheme="minorHAnsi"/>
        </w:rPr>
        <w:t xml:space="preserve">KLF4 siRNAs and nontargeting siRNA control were transfected into THP-1 macrophages using Lipofectamine RNAiMAX </w:t>
      </w:r>
      <w:r w:rsidRPr="00352335">
        <w:rPr>
          <w:rFonts w:cstheme="minorHAnsi"/>
        </w:rPr>
        <w:t>transfection reagent according to</w:t>
      </w:r>
      <w:r>
        <w:rPr>
          <w:rFonts w:cstheme="minorHAnsi"/>
        </w:rPr>
        <w:t xml:space="preserve"> </w:t>
      </w:r>
      <w:r w:rsidRPr="00352335">
        <w:rPr>
          <w:rFonts w:cstheme="minorHAnsi"/>
        </w:rPr>
        <w:t>manufacturer’s instructions</w:t>
      </w:r>
      <w:r>
        <w:rPr>
          <w:rFonts w:cstheme="minorHAnsi"/>
        </w:rPr>
        <w:t>.</w:t>
      </w:r>
    </w:p>
    <w:p w14:paraId="0E86B380" w14:textId="77777777" w:rsidR="00B82E6D" w:rsidRDefault="00B82E6D" w:rsidP="00B82E6D">
      <w:pPr>
        <w:pStyle w:val="ListParagraph"/>
        <w:widowControl w:val="0"/>
        <w:numPr>
          <w:ilvl w:val="0"/>
          <w:numId w:val="2"/>
        </w:numPr>
        <w:tabs>
          <w:tab w:val="left" w:pos="360"/>
        </w:tabs>
        <w:jc w:val="both"/>
        <w:rPr>
          <w:rFonts w:cstheme="minorHAnsi"/>
        </w:rPr>
      </w:pPr>
      <w:r>
        <w:rPr>
          <w:rFonts w:cstheme="minorHAnsi"/>
        </w:rPr>
        <w:t>M2 macrophage-associated transcription factors, markers, and chemokines expression (transcripts and proteins)</w:t>
      </w:r>
    </w:p>
    <w:p w14:paraId="60A10034" w14:textId="77777777" w:rsidR="00B82E6D" w:rsidRDefault="00B82E6D" w:rsidP="00B82E6D">
      <w:pPr>
        <w:pStyle w:val="ListParagraph"/>
        <w:widowControl w:val="0"/>
        <w:numPr>
          <w:ilvl w:val="1"/>
          <w:numId w:val="2"/>
        </w:numPr>
        <w:tabs>
          <w:tab w:val="left" w:pos="360"/>
        </w:tabs>
        <w:jc w:val="both"/>
        <w:rPr>
          <w:rFonts w:cstheme="minorHAnsi"/>
        </w:rPr>
      </w:pPr>
      <w:r>
        <w:rPr>
          <w:rFonts w:cstheme="minorHAnsi"/>
        </w:rPr>
        <w:t xml:space="preserve">Total RNA was isolated using </w:t>
      </w:r>
      <w:r w:rsidRPr="00DA0E68">
        <w:rPr>
          <w:rFonts w:cstheme="minorHAnsi"/>
          <w:i/>
          <w:iCs/>
        </w:rPr>
        <w:t>mirVana</w:t>
      </w:r>
      <w:r w:rsidRPr="00DA0E68">
        <w:rPr>
          <w:rFonts w:cstheme="minorHAnsi"/>
        </w:rPr>
        <w:t xml:space="preserve">™ </w:t>
      </w:r>
      <w:r>
        <w:rPr>
          <w:rFonts w:cstheme="minorHAnsi"/>
        </w:rPr>
        <w:t xml:space="preserve">miR isolation kit according to </w:t>
      </w:r>
      <w:r w:rsidRPr="00352335">
        <w:rPr>
          <w:rFonts w:cstheme="minorHAnsi"/>
        </w:rPr>
        <w:t>manufacturer’s instructions</w:t>
      </w:r>
      <w:r>
        <w:rPr>
          <w:rFonts w:cstheme="minorHAnsi"/>
        </w:rPr>
        <w:t>.</w:t>
      </w:r>
    </w:p>
    <w:p w14:paraId="1B91A867" w14:textId="77777777" w:rsidR="00B82E6D" w:rsidRDefault="00B82E6D" w:rsidP="00B82E6D">
      <w:pPr>
        <w:pStyle w:val="ListParagraph"/>
        <w:widowControl w:val="0"/>
        <w:numPr>
          <w:ilvl w:val="1"/>
          <w:numId w:val="2"/>
        </w:numPr>
        <w:tabs>
          <w:tab w:val="left" w:pos="360"/>
        </w:tabs>
        <w:jc w:val="both"/>
        <w:rPr>
          <w:rFonts w:cstheme="minorHAnsi"/>
        </w:rPr>
      </w:pPr>
      <w:r>
        <w:rPr>
          <w:rFonts w:cstheme="minorHAnsi"/>
        </w:rPr>
        <w:t xml:space="preserve">TaqMan gene expression assays for </w:t>
      </w:r>
      <w:r w:rsidRPr="002E4ED4">
        <w:rPr>
          <w:rFonts w:cstheme="minorHAnsi"/>
          <w:i/>
          <w:iCs/>
        </w:rPr>
        <w:t>CD206, TGM2, CCL17, CCL22</w:t>
      </w:r>
      <w:r>
        <w:rPr>
          <w:rFonts w:cstheme="minorHAnsi"/>
        </w:rPr>
        <w:t xml:space="preserve"> and </w:t>
      </w:r>
      <w:r w:rsidRPr="002E4ED4">
        <w:rPr>
          <w:rFonts w:cstheme="minorHAnsi"/>
          <w:i/>
          <w:iCs/>
        </w:rPr>
        <w:t>CCL24</w:t>
      </w:r>
      <w:r>
        <w:rPr>
          <w:rFonts w:cstheme="minorHAnsi"/>
        </w:rPr>
        <w:t xml:space="preserve"> were obtained from ThermoFisher Scientific.</w:t>
      </w:r>
    </w:p>
    <w:p w14:paraId="3DF64545" w14:textId="77777777" w:rsidR="00B82E6D" w:rsidRDefault="00B82E6D" w:rsidP="00B82E6D">
      <w:pPr>
        <w:pStyle w:val="ListParagraph"/>
        <w:widowControl w:val="0"/>
        <w:numPr>
          <w:ilvl w:val="1"/>
          <w:numId w:val="2"/>
        </w:numPr>
        <w:tabs>
          <w:tab w:val="left" w:pos="360"/>
        </w:tabs>
        <w:jc w:val="both"/>
        <w:rPr>
          <w:rFonts w:cstheme="minorHAnsi"/>
        </w:rPr>
      </w:pPr>
      <w:r w:rsidRPr="00352335">
        <w:rPr>
          <w:rFonts w:cstheme="minorHAnsi"/>
        </w:rPr>
        <w:t xml:space="preserve">Real-time PCR </w:t>
      </w:r>
      <w:r>
        <w:rPr>
          <w:rFonts w:cstheme="minorHAnsi"/>
        </w:rPr>
        <w:t xml:space="preserve">assays were performed on </w:t>
      </w:r>
      <w:r w:rsidRPr="00352335">
        <w:rPr>
          <w:rFonts w:cstheme="minorHAnsi"/>
        </w:rPr>
        <w:t>Applied Biosystems 7500 RT-PCR System</w:t>
      </w:r>
      <w:r>
        <w:rPr>
          <w:rFonts w:cstheme="minorHAnsi"/>
        </w:rPr>
        <w:t>.</w:t>
      </w:r>
    </w:p>
    <w:p w14:paraId="2BCC3758" w14:textId="77777777" w:rsidR="00B82E6D" w:rsidRDefault="00B82E6D" w:rsidP="00B82E6D">
      <w:pPr>
        <w:pStyle w:val="ListParagraph"/>
        <w:widowControl w:val="0"/>
        <w:numPr>
          <w:ilvl w:val="1"/>
          <w:numId w:val="2"/>
        </w:numPr>
        <w:tabs>
          <w:tab w:val="left" w:pos="360"/>
        </w:tabs>
        <w:jc w:val="both"/>
        <w:rPr>
          <w:rFonts w:cstheme="minorHAnsi"/>
        </w:rPr>
      </w:pPr>
      <w:r>
        <w:rPr>
          <w:rFonts w:cstheme="minorHAnsi"/>
        </w:rPr>
        <w:t>Endogenous M2 macrophage markers CD206 and TGM2 proteins were determined by western blot.</w:t>
      </w:r>
    </w:p>
    <w:p w14:paraId="5473E530" w14:textId="77777777" w:rsidR="00B82E6D" w:rsidRPr="00AA6A66" w:rsidRDefault="00B82E6D" w:rsidP="00B82E6D">
      <w:pPr>
        <w:pStyle w:val="ListParagraph"/>
        <w:widowControl w:val="0"/>
        <w:numPr>
          <w:ilvl w:val="1"/>
          <w:numId w:val="2"/>
        </w:numPr>
        <w:tabs>
          <w:tab w:val="left" w:pos="360"/>
        </w:tabs>
        <w:jc w:val="both"/>
        <w:rPr>
          <w:rFonts w:cstheme="minorHAnsi"/>
        </w:rPr>
      </w:pPr>
      <w:r>
        <w:rPr>
          <w:rFonts w:cstheme="minorHAnsi"/>
        </w:rPr>
        <w:t xml:space="preserve">Secreted </w:t>
      </w:r>
      <w:r w:rsidRPr="00AA6A66">
        <w:rPr>
          <w:rFonts w:cstheme="minorHAnsi"/>
        </w:rPr>
        <w:t>M2 macrophage</w:t>
      </w:r>
      <w:r>
        <w:rPr>
          <w:rFonts w:cstheme="minorHAnsi"/>
        </w:rPr>
        <w:t>-associated chemokines CCL17, CCL22, and CCL24</w:t>
      </w:r>
      <w:r w:rsidRPr="00AA6A66">
        <w:rPr>
          <w:rFonts w:cstheme="minorHAnsi"/>
        </w:rPr>
        <w:t xml:space="preserve"> proteins</w:t>
      </w:r>
      <w:r>
        <w:rPr>
          <w:rFonts w:cstheme="minorHAnsi"/>
        </w:rPr>
        <w:t xml:space="preserve"> in cell-free conditioned media</w:t>
      </w:r>
      <w:r w:rsidRPr="00AA6A66">
        <w:rPr>
          <w:rFonts w:cstheme="minorHAnsi"/>
        </w:rPr>
        <w:t xml:space="preserve"> were determined by ELISA.</w:t>
      </w:r>
      <w:r>
        <w:rPr>
          <w:rFonts w:cstheme="minorHAnsi"/>
        </w:rPr>
        <w:t xml:space="preserve"> The h</w:t>
      </w:r>
      <w:r w:rsidRPr="00AA6A66">
        <w:rPr>
          <w:rFonts w:cstheme="minorHAnsi"/>
        </w:rPr>
        <w:t>uman CCL22, and CCL24 ELISA kits were obtained from ThermoFisher Scientific. Human CCL17 ELISA kit was obtained from R&amp;D systems. ELISA were performed according to manufacturer’s instructions.</w:t>
      </w:r>
    </w:p>
    <w:p w14:paraId="7D2C4171" w14:textId="77777777" w:rsidR="00B82E6D" w:rsidRDefault="00B82E6D" w:rsidP="00B82E6D">
      <w:pPr>
        <w:pStyle w:val="ListParagraph"/>
        <w:widowControl w:val="0"/>
        <w:numPr>
          <w:ilvl w:val="0"/>
          <w:numId w:val="2"/>
        </w:numPr>
        <w:tabs>
          <w:tab w:val="left" w:pos="360"/>
        </w:tabs>
        <w:jc w:val="both"/>
        <w:rPr>
          <w:rFonts w:cstheme="minorHAnsi"/>
        </w:rPr>
      </w:pPr>
      <w:r w:rsidRPr="005B5773">
        <w:rPr>
          <w:rFonts w:cstheme="minorHAnsi"/>
        </w:rPr>
        <w:t>Chemotaxis assays and quantification of migrated cells</w:t>
      </w:r>
    </w:p>
    <w:p w14:paraId="25D7988B" w14:textId="77777777" w:rsidR="00B82E6D" w:rsidRDefault="00B82E6D" w:rsidP="00B82E6D">
      <w:pPr>
        <w:pStyle w:val="ListParagraph"/>
        <w:widowControl w:val="0"/>
        <w:numPr>
          <w:ilvl w:val="1"/>
          <w:numId w:val="2"/>
        </w:numPr>
        <w:tabs>
          <w:tab w:val="left" w:pos="360"/>
        </w:tabs>
        <w:jc w:val="both"/>
        <w:rPr>
          <w:rFonts w:cstheme="minorHAnsi"/>
        </w:rPr>
      </w:pPr>
      <w:r w:rsidRPr="00503878">
        <w:rPr>
          <w:rFonts w:asciiTheme="minorHAnsi" w:hAnsiTheme="minorHAnsi" w:cstheme="minorHAnsi"/>
        </w:rPr>
        <w:t>3</w:t>
      </w:r>
      <w:r>
        <w:rPr>
          <w:rFonts w:asciiTheme="minorHAnsi" w:hAnsiTheme="minorHAnsi" w:cstheme="minorHAnsi"/>
        </w:rPr>
        <w:t xml:space="preserve"> </w:t>
      </w:r>
      <w:r w:rsidRPr="00503878">
        <w:rPr>
          <w:rFonts w:ascii="Symbol" w:hAnsi="Symbol" w:cstheme="minorHAnsi"/>
        </w:rPr>
        <w:t>m</w:t>
      </w:r>
      <w:r w:rsidRPr="00503878">
        <w:rPr>
          <w:rFonts w:asciiTheme="minorHAnsi" w:hAnsiTheme="minorHAnsi" w:cstheme="minorHAnsi"/>
        </w:rPr>
        <w:t xml:space="preserve">m pore size </w:t>
      </w:r>
      <w:r>
        <w:rPr>
          <w:rFonts w:asciiTheme="minorHAnsi" w:hAnsiTheme="minorHAnsi" w:cstheme="minorHAnsi"/>
        </w:rPr>
        <w:t>T</w:t>
      </w:r>
      <w:r w:rsidRPr="00503878">
        <w:rPr>
          <w:rFonts w:asciiTheme="minorHAnsi" w:hAnsiTheme="minorHAnsi" w:cstheme="minorHAnsi"/>
        </w:rPr>
        <w:t>ranswell</w:t>
      </w:r>
      <w:r w:rsidRPr="00DA0E68">
        <w:rPr>
          <w:rFonts w:cstheme="minorHAnsi"/>
        </w:rPr>
        <w:t>™</w:t>
      </w:r>
      <w:r w:rsidRPr="00503878">
        <w:rPr>
          <w:rFonts w:asciiTheme="minorHAnsi" w:hAnsiTheme="minorHAnsi" w:cstheme="minorHAnsi"/>
        </w:rPr>
        <w:t xml:space="preserve"> assay</w:t>
      </w:r>
      <w:r>
        <w:rPr>
          <w:rFonts w:asciiTheme="minorHAnsi" w:hAnsiTheme="minorHAnsi" w:cstheme="minorHAnsi"/>
        </w:rPr>
        <w:t xml:space="preserve"> insert was used for c</w:t>
      </w:r>
      <w:r w:rsidRPr="005B5773">
        <w:rPr>
          <w:rFonts w:cstheme="minorHAnsi"/>
        </w:rPr>
        <w:t>hemotaxis</w:t>
      </w:r>
      <w:r>
        <w:rPr>
          <w:rFonts w:cstheme="minorHAnsi"/>
        </w:rPr>
        <w:t>/cell migration assays.</w:t>
      </w:r>
    </w:p>
    <w:p w14:paraId="5B03D626" w14:textId="77777777" w:rsidR="00B82E6D" w:rsidRDefault="00B82E6D" w:rsidP="00B82E6D">
      <w:pPr>
        <w:pStyle w:val="ListParagraph"/>
        <w:widowControl w:val="0"/>
        <w:numPr>
          <w:ilvl w:val="1"/>
          <w:numId w:val="2"/>
        </w:numPr>
        <w:tabs>
          <w:tab w:val="left" w:pos="360"/>
        </w:tabs>
        <w:jc w:val="both"/>
        <w:rPr>
          <w:rFonts w:cstheme="minorHAnsi"/>
        </w:rPr>
      </w:pPr>
      <w:r>
        <w:rPr>
          <w:rFonts w:cstheme="minorHAnsi"/>
        </w:rPr>
        <w:t xml:space="preserve">Either Jurkat T-cells or differentiated </w:t>
      </w:r>
      <w:r w:rsidRPr="001E1EBE">
        <w:rPr>
          <w:rFonts w:cstheme="minorHAnsi"/>
        </w:rPr>
        <w:t xml:space="preserve">Clone 15 HL-60 </w:t>
      </w:r>
      <w:r>
        <w:rPr>
          <w:rFonts w:cstheme="minorHAnsi"/>
        </w:rPr>
        <w:t xml:space="preserve">cells were added into </w:t>
      </w:r>
      <w:r>
        <w:rPr>
          <w:rFonts w:asciiTheme="minorHAnsi" w:hAnsiTheme="minorHAnsi" w:cstheme="minorHAnsi"/>
        </w:rPr>
        <w:t>T</w:t>
      </w:r>
      <w:r w:rsidRPr="00503878">
        <w:rPr>
          <w:rFonts w:asciiTheme="minorHAnsi" w:hAnsiTheme="minorHAnsi" w:cstheme="minorHAnsi"/>
        </w:rPr>
        <w:t>ranswell</w:t>
      </w:r>
      <w:r w:rsidRPr="00DA0E68">
        <w:rPr>
          <w:rFonts w:cstheme="minorHAnsi"/>
        </w:rPr>
        <w:t>™</w:t>
      </w:r>
      <w:r w:rsidRPr="00503878">
        <w:rPr>
          <w:rFonts w:asciiTheme="minorHAnsi" w:hAnsiTheme="minorHAnsi" w:cstheme="minorHAnsi"/>
        </w:rPr>
        <w:t xml:space="preserve"> assay</w:t>
      </w:r>
      <w:r>
        <w:rPr>
          <w:rFonts w:asciiTheme="minorHAnsi" w:hAnsiTheme="minorHAnsi" w:cstheme="minorHAnsi"/>
        </w:rPr>
        <w:t xml:space="preserve"> inserts</w:t>
      </w:r>
      <w:r>
        <w:rPr>
          <w:rFonts w:cstheme="minorHAnsi"/>
        </w:rPr>
        <w:t xml:space="preserve"> and allowed those cells responded to conditioned media obtained from THP-1 macrophages transfected with KLF4 overexpression plasmid, KLF4 siRNAs or else KLF4 siRNA transfected THP-1 macrophages exposed to MDI-GSH conjugates.</w:t>
      </w:r>
    </w:p>
    <w:p w14:paraId="3D3B5ED9" w14:textId="77777777" w:rsidR="00B82E6D" w:rsidRPr="005B5773" w:rsidRDefault="00B82E6D" w:rsidP="00B82E6D">
      <w:pPr>
        <w:pStyle w:val="ListParagraph"/>
        <w:widowControl w:val="0"/>
        <w:numPr>
          <w:ilvl w:val="1"/>
          <w:numId w:val="2"/>
        </w:numPr>
        <w:tabs>
          <w:tab w:val="left" w:pos="360"/>
        </w:tabs>
        <w:jc w:val="both"/>
        <w:rPr>
          <w:rFonts w:cstheme="minorHAnsi"/>
        </w:rPr>
      </w:pPr>
      <w:r>
        <w:rPr>
          <w:rFonts w:cstheme="minorHAnsi"/>
        </w:rPr>
        <w:t xml:space="preserve">Migrated immune cells were quantified by using </w:t>
      </w:r>
      <w:r w:rsidRPr="00503878">
        <w:rPr>
          <w:rFonts w:asciiTheme="minorHAnsi" w:hAnsiTheme="minorHAnsi" w:cstheme="minorHAnsi"/>
        </w:rPr>
        <w:t>CyQUANT</w:t>
      </w:r>
      <w:r w:rsidRPr="004F3484">
        <w:rPr>
          <w:rFonts w:cstheme="minorHAnsi"/>
        </w:rPr>
        <w:t>®</w:t>
      </w:r>
      <w:r w:rsidRPr="00503878">
        <w:rPr>
          <w:rFonts w:asciiTheme="minorHAnsi" w:hAnsiTheme="minorHAnsi" w:cstheme="minorHAnsi"/>
        </w:rPr>
        <w:t xml:space="preserve"> GR </w:t>
      </w:r>
      <w:r>
        <w:rPr>
          <w:rFonts w:asciiTheme="minorHAnsi" w:hAnsiTheme="minorHAnsi" w:cstheme="minorHAnsi"/>
        </w:rPr>
        <w:t>proliferation</w:t>
      </w:r>
      <w:r w:rsidRPr="00503878">
        <w:rPr>
          <w:rFonts w:asciiTheme="minorHAnsi" w:hAnsiTheme="minorHAnsi" w:cstheme="minorHAnsi"/>
        </w:rPr>
        <w:t xml:space="preserve"> assay</w:t>
      </w:r>
      <w:r>
        <w:rPr>
          <w:rFonts w:asciiTheme="minorHAnsi" w:hAnsiTheme="minorHAnsi" w:cstheme="minorHAnsi"/>
        </w:rPr>
        <w:t xml:space="preserve"> according to </w:t>
      </w:r>
      <w:r w:rsidRPr="00352335">
        <w:rPr>
          <w:rFonts w:cstheme="minorHAnsi"/>
        </w:rPr>
        <w:t>manufacturer’s instructions</w:t>
      </w:r>
      <w:r>
        <w:rPr>
          <w:rFonts w:cstheme="minorHAnsi"/>
        </w:rPr>
        <w:t>.</w:t>
      </w:r>
    </w:p>
    <w:p w14:paraId="29B28C04" w14:textId="77777777" w:rsidR="00B82E6D" w:rsidRPr="00EB3558" w:rsidRDefault="00B82E6D" w:rsidP="00B82E6D">
      <w:r w:rsidRPr="00EB3558">
        <w:tab/>
      </w:r>
      <w:r w:rsidRPr="00EB3558">
        <w:tab/>
      </w:r>
    </w:p>
    <w:p w14:paraId="41B23F7C" w14:textId="77777777" w:rsidR="00B82E6D" w:rsidRDefault="00B82E6D" w:rsidP="00B82E6D">
      <w:pPr>
        <w:widowControl w:val="0"/>
        <w:tabs>
          <w:tab w:val="left" w:pos="360"/>
        </w:tabs>
        <w:rPr>
          <w:rFonts w:cstheme="minorHAnsi"/>
          <w:b/>
          <w:bCs/>
        </w:rPr>
      </w:pPr>
      <w:r w:rsidRPr="00AA2092">
        <w:rPr>
          <w:rFonts w:cstheme="minorHAnsi"/>
          <w:b/>
          <w:bCs/>
        </w:rPr>
        <w:t>Citations</w:t>
      </w:r>
      <w:r>
        <w:rPr>
          <w:rFonts w:cstheme="minorHAnsi"/>
          <w:b/>
          <w:bCs/>
        </w:rPr>
        <w:t xml:space="preserve"> – </w:t>
      </w:r>
      <w:r w:rsidRPr="004907BA">
        <w:rPr>
          <w:rFonts w:cstheme="minorHAnsi"/>
        </w:rPr>
        <w:t>Publications based on the dataset</w:t>
      </w:r>
    </w:p>
    <w:p w14:paraId="6E3A3D34" w14:textId="77777777" w:rsidR="00B82E6D" w:rsidRDefault="00B82E6D" w:rsidP="00B82E6D">
      <w:pPr>
        <w:widowControl w:val="0"/>
        <w:tabs>
          <w:tab w:val="left" w:pos="360"/>
        </w:tabs>
        <w:rPr>
          <w:rFonts w:cstheme="minorHAnsi"/>
          <w:i/>
          <w:iCs/>
        </w:rPr>
      </w:pPr>
      <w:r>
        <w:rPr>
          <w:rFonts w:cstheme="minorHAnsi"/>
        </w:rPr>
        <w:t>Lin</w:t>
      </w:r>
      <w:r w:rsidRPr="00712135">
        <w:rPr>
          <w:rFonts w:cstheme="minorHAnsi"/>
        </w:rPr>
        <w:t xml:space="preserve">, </w:t>
      </w:r>
      <w:r>
        <w:rPr>
          <w:rFonts w:cstheme="minorHAnsi"/>
        </w:rPr>
        <w:t>CC</w:t>
      </w:r>
      <w:r w:rsidRPr="00712135">
        <w:rPr>
          <w:rFonts w:cstheme="minorHAnsi"/>
        </w:rPr>
        <w:t xml:space="preserve">, </w:t>
      </w:r>
      <w:r>
        <w:rPr>
          <w:rFonts w:cstheme="minorHAnsi"/>
        </w:rPr>
        <w:t>Law</w:t>
      </w:r>
      <w:r w:rsidRPr="00712135">
        <w:rPr>
          <w:rFonts w:cstheme="minorHAnsi"/>
        </w:rPr>
        <w:t>,</w:t>
      </w:r>
      <w:r>
        <w:rPr>
          <w:rFonts w:cstheme="minorHAnsi"/>
        </w:rPr>
        <w:t xml:space="preserve"> BF, </w:t>
      </w:r>
      <w:r w:rsidRPr="00712135">
        <w:rPr>
          <w:rFonts w:cstheme="minorHAnsi"/>
        </w:rPr>
        <w:t xml:space="preserve">and </w:t>
      </w:r>
      <w:r>
        <w:rPr>
          <w:rFonts w:cstheme="minorHAnsi"/>
        </w:rPr>
        <w:t>Hettick</w:t>
      </w:r>
      <w:r w:rsidRPr="00712135">
        <w:rPr>
          <w:rFonts w:cstheme="minorHAnsi"/>
        </w:rPr>
        <w:t>, J</w:t>
      </w:r>
      <w:r>
        <w:rPr>
          <w:rFonts w:cstheme="minorHAnsi"/>
        </w:rPr>
        <w:t xml:space="preserve">M (2023). </w:t>
      </w:r>
      <w:r w:rsidRPr="00653F51">
        <w:rPr>
          <w:rFonts w:cstheme="minorHAnsi"/>
        </w:rPr>
        <w:t>4,4’-Methylene Diphenyl Diisocyanate Exposure Induces Expression of Alternative Activated Macrophage-Associated Markers and Chemokines Partially Through Krüppel-Like Factor 4 Mediated Signaling in Macrophages</w:t>
      </w:r>
      <w:r>
        <w:rPr>
          <w:rFonts w:cstheme="minorHAnsi"/>
        </w:rPr>
        <w:t>.</w:t>
      </w:r>
      <w:r w:rsidRPr="00712135">
        <w:rPr>
          <w:rFonts w:cstheme="minorHAnsi"/>
        </w:rPr>
        <w:t xml:space="preserve"> </w:t>
      </w:r>
      <w:r w:rsidRPr="00787986">
        <w:rPr>
          <w:rFonts w:cstheme="minorHAnsi"/>
          <w:i/>
          <w:iCs/>
        </w:rPr>
        <w:t xml:space="preserve">To be submitted to </w:t>
      </w:r>
      <w:r w:rsidRPr="008C1264">
        <w:rPr>
          <w:rFonts w:cstheme="minorHAnsi"/>
          <w:i/>
          <w:iCs/>
        </w:rPr>
        <w:t>Xenobiotica</w:t>
      </w:r>
      <w:r w:rsidRPr="00787986">
        <w:rPr>
          <w:rFonts w:cstheme="minorHAnsi"/>
          <w:i/>
          <w:iCs/>
        </w:rPr>
        <w:t>.  Currently in internal review and clearance.</w:t>
      </w:r>
    </w:p>
    <w:p w14:paraId="4B4AE6D5" w14:textId="77777777" w:rsidR="00B82E6D" w:rsidRPr="0032371F" w:rsidRDefault="00B82E6D" w:rsidP="00B82E6D">
      <w:pPr>
        <w:widowControl w:val="0"/>
        <w:tabs>
          <w:tab w:val="left" w:pos="360"/>
        </w:tabs>
        <w:rPr>
          <w:rFonts w:cstheme="minorHAnsi"/>
          <w:b/>
          <w:bCs/>
        </w:rPr>
      </w:pPr>
      <w:r w:rsidRPr="0032371F">
        <w:rPr>
          <w:rFonts w:cstheme="minorHAnsi"/>
          <w:b/>
          <w:bCs/>
        </w:rPr>
        <w:t>Acknowledgement</w:t>
      </w:r>
    </w:p>
    <w:p w14:paraId="1386456F" w14:textId="77777777" w:rsidR="00B82E6D" w:rsidRDefault="00B82E6D" w:rsidP="00B82E6D">
      <w:pPr>
        <w:widowControl w:val="0"/>
        <w:tabs>
          <w:tab w:val="left" w:pos="360"/>
        </w:tabs>
        <w:rPr>
          <w:rFonts w:cstheme="minorHAnsi"/>
        </w:rPr>
      </w:pPr>
      <w:r w:rsidRPr="00AB27CA">
        <w:rPr>
          <w:rFonts w:cstheme="minorHAnsi"/>
        </w:rPr>
        <w:t>This work was supported by NIOSH CAN 99390</w:t>
      </w:r>
      <w:r>
        <w:rPr>
          <w:rFonts w:cstheme="minorHAnsi"/>
        </w:rPr>
        <w:t xml:space="preserve">BN8 and </w:t>
      </w:r>
      <w:r w:rsidRPr="001207B5">
        <w:rPr>
          <w:rFonts w:cstheme="minorHAnsi"/>
        </w:rPr>
        <w:t>39390KK5</w:t>
      </w:r>
    </w:p>
    <w:p w14:paraId="212274D0" w14:textId="77777777" w:rsidR="00B82E6D" w:rsidRDefault="00B82E6D" w:rsidP="00B82E6D">
      <w:pPr>
        <w:widowControl w:val="0"/>
        <w:tabs>
          <w:tab w:val="left" w:pos="360"/>
        </w:tabs>
        <w:rPr>
          <w:rFonts w:cstheme="minorHAnsi"/>
        </w:rPr>
      </w:pPr>
      <w:r>
        <w:rPr>
          <w:rFonts w:cstheme="minorHAnsi"/>
        </w:rPr>
        <w:t xml:space="preserve">Chen-Chung Lin, </w:t>
      </w:r>
      <w:hyperlink r:id="rId7" w:history="1">
        <w:r w:rsidRPr="00645D36">
          <w:rPr>
            <w:rStyle w:val="Hyperlink"/>
            <w:rFonts w:cstheme="minorHAnsi"/>
          </w:rPr>
          <w:t>mjy2@cdc.gov</w:t>
        </w:r>
      </w:hyperlink>
    </w:p>
    <w:p w14:paraId="41E81FF6" w14:textId="77777777" w:rsidR="00B82E6D" w:rsidRDefault="00B82E6D" w:rsidP="00B82E6D">
      <w:pPr>
        <w:widowControl w:val="0"/>
        <w:tabs>
          <w:tab w:val="left" w:pos="360"/>
        </w:tabs>
        <w:rPr>
          <w:rFonts w:cstheme="minorHAnsi"/>
        </w:rPr>
      </w:pPr>
      <w:r>
        <w:rPr>
          <w:rFonts w:cstheme="minorHAnsi"/>
        </w:rPr>
        <w:t xml:space="preserve">Brandon F. Law, </w:t>
      </w:r>
      <w:hyperlink r:id="rId8" w:history="1">
        <w:r w:rsidRPr="00645D36">
          <w:rPr>
            <w:rStyle w:val="Hyperlink"/>
            <w:rFonts w:cstheme="minorHAnsi"/>
          </w:rPr>
          <w:t>bhl7@cdc.gov</w:t>
        </w:r>
      </w:hyperlink>
    </w:p>
    <w:p w14:paraId="011EF664" w14:textId="77777777" w:rsidR="00B82E6D" w:rsidRDefault="00B82E6D" w:rsidP="00B82E6D">
      <w:pPr>
        <w:widowControl w:val="0"/>
        <w:tabs>
          <w:tab w:val="left" w:pos="360"/>
        </w:tabs>
        <w:rPr>
          <w:rFonts w:cstheme="minorHAnsi"/>
        </w:rPr>
      </w:pPr>
      <w:r>
        <w:rPr>
          <w:rFonts w:cstheme="minorHAnsi"/>
        </w:rPr>
        <w:lastRenderedPageBreak/>
        <w:t xml:space="preserve">Justin M. Hettick, </w:t>
      </w:r>
      <w:hyperlink r:id="rId9" w:history="1">
        <w:r w:rsidRPr="00645D36">
          <w:rPr>
            <w:rStyle w:val="Hyperlink"/>
            <w:rFonts w:cstheme="minorHAnsi"/>
          </w:rPr>
          <w:t>ayf2@cdc.gov</w:t>
        </w:r>
      </w:hyperlink>
    </w:p>
    <w:p w14:paraId="1BDEFB86" w14:textId="77777777" w:rsidR="00B82E6D" w:rsidRPr="0032371F" w:rsidRDefault="00B82E6D" w:rsidP="00B82E6D">
      <w:pPr>
        <w:widowControl w:val="0"/>
        <w:tabs>
          <w:tab w:val="left" w:pos="360"/>
        </w:tabs>
        <w:contextualSpacing/>
        <w:rPr>
          <w:rFonts w:cstheme="minorHAnsi"/>
          <w:b/>
          <w:bCs/>
        </w:rPr>
      </w:pPr>
      <w:r w:rsidRPr="0032371F">
        <w:rPr>
          <w:rFonts w:cstheme="minorHAnsi"/>
          <w:b/>
          <w:bCs/>
        </w:rPr>
        <w:t>Contact information</w:t>
      </w:r>
    </w:p>
    <w:p w14:paraId="54640910" w14:textId="77777777" w:rsidR="00B82E6D" w:rsidRPr="0032371F" w:rsidRDefault="00B82E6D" w:rsidP="00B82E6D">
      <w:pPr>
        <w:widowControl w:val="0"/>
        <w:tabs>
          <w:tab w:val="left" w:pos="360"/>
        </w:tabs>
        <w:contextualSpacing/>
        <w:rPr>
          <w:rFonts w:cstheme="minorHAnsi"/>
        </w:rPr>
      </w:pPr>
      <w:r w:rsidRPr="0032371F">
        <w:rPr>
          <w:rFonts w:cstheme="minorHAnsi"/>
        </w:rPr>
        <w:t>For further information, contact:</w:t>
      </w:r>
    </w:p>
    <w:p w14:paraId="1CBC97CC" w14:textId="77777777" w:rsidR="00B82E6D" w:rsidRPr="0032371F" w:rsidRDefault="00B82E6D" w:rsidP="00B82E6D">
      <w:pPr>
        <w:widowControl w:val="0"/>
        <w:tabs>
          <w:tab w:val="left" w:pos="360"/>
        </w:tabs>
        <w:contextualSpacing/>
        <w:rPr>
          <w:rFonts w:cstheme="minorHAnsi"/>
        </w:rPr>
      </w:pPr>
    </w:p>
    <w:p w14:paraId="0A183B57" w14:textId="77777777" w:rsidR="00B82E6D" w:rsidRPr="00AB27CA" w:rsidRDefault="00B82E6D" w:rsidP="00B82E6D">
      <w:pPr>
        <w:widowControl w:val="0"/>
        <w:tabs>
          <w:tab w:val="left" w:pos="360"/>
        </w:tabs>
        <w:contextualSpacing/>
        <w:rPr>
          <w:rFonts w:cstheme="minorHAnsi"/>
        </w:rPr>
      </w:pPr>
      <w:r w:rsidRPr="00AB27CA">
        <w:rPr>
          <w:rFonts w:cstheme="minorHAnsi"/>
        </w:rPr>
        <w:t>Allergy and Clinical Immunology Branch (ACIB),</w:t>
      </w:r>
    </w:p>
    <w:p w14:paraId="5EA91DFE" w14:textId="77777777" w:rsidR="00B82E6D" w:rsidRPr="00AB27CA" w:rsidRDefault="00B82E6D" w:rsidP="00B82E6D">
      <w:pPr>
        <w:widowControl w:val="0"/>
        <w:tabs>
          <w:tab w:val="left" w:pos="360"/>
        </w:tabs>
        <w:contextualSpacing/>
        <w:rPr>
          <w:rFonts w:cstheme="minorHAnsi"/>
        </w:rPr>
      </w:pPr>
      <w:r w:rsidRPr="00AB27CA">
        <w:rPr>
          <w:rFonts w:cstheme="minorHAnsi"/>
        </w:rPr>
        <w:t>Health Effects Laboratory Division (HELD),</w:t>
      </w:r>
    </w:p>
    <w:p w14:paraId="18F08B9E" w14:textId="77777777" w:rsidR="00B82E6D" w:rsidRPr="00AB27CA" w:rsidRDefault="00B82E6D" w:rsidP="00B82E6D">
      <w:pPr>
        <w:widowControl w:val="0"/>
        <w:tabs>
          <w:tab w:val="left" w:pos="360"/>
        </w:tabs>
        <w:contextualSpacing/>
        <w:rPr>
          <w:rFonts w:cstheme="minorHAnsi"/>
        </w:rPr>
      </w:pPr>
      <w:r w:rsidRPr="00AB27CA">
        <w:rPr>
          <w:rFonts w:cstheme="minorHAnsi"/>
        </w:rPr>
        <w:t>National Institute for Occupational Safety and Health (NIOSH),</w:t>
      </w:r>
    </w:p>
    <w:p w14:paraId="5F28E6EA" w14:textId="77777777" w:rsidR="00B82E6D" w:rsidRPr="00AB27CA" w:rsidRDefault="00B82E6D" w:rsidP="00B82E6D">
      <w:pPr>
        <w:widowControl w:val="0"/>
        <w:tabs>
          <w:tab w:val="left" w:pos="360"/>
        </w:tabs>
        <w:contextualSpacing/>
        <w:rPr>
          <w:rFonts w:cstheme="minorHAnsi"/>
        </w:rPr>
      </w:pPr>
      <w:r w:rsidRPr="00AB27CA">
        <w:rPr>
          <w:rFonts w:cstheme="minorHAnsi"/>
        </w:rPr>
        <w:t>Morgantown, WV</w:t>
      </w:r>
    </w:p>
    <w:p w14:paraId="3F2F99E4" w14:textId="77777777" w:rsidR="00B82E6D" w:rsidRDefault="00B82E6D" w:rsidP="00B82E6D">
      <w:pPr>
        <w:widowControl w:val="0"/>
        <w:tabs>
          <w:tab w:val="left" w:pos="360"/>
        </w:tabs>
        <w:contextualSpacing/>
      </w:pPr>
      <w:r w:rsidRPr="00AB27CA">
        <w:rPr>
          <w:rFonts w:cstheme="minorHAnsi"/>
        </w:rPr>
        <w:t>304.285.6</w:t>
      </w:r>
      <w:r>
        <w:rPr>
          <w:rFonts w:cstheme="minorHAnsi"/>
        </w:rPr>
        <w:t>360</w:t>
      </w:r>
    </w:p>
    <w:p w14:paraId="0F21747C" w14:textId="2A45A2C4" w:rsidR="008C5A29" w:rsidRPr="00B82E6D" w:rsidRDefault="008C5A29" w:rsidP="00B82E6D"/>
    <w:sectPr w:rsidR="008C5A29" w:rsidRPr="00B82E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3B8F" w14:textId="77777777" w:rsidR="00B55EDD" w:rsidRDefault="00B55EDD" w:rsidP="00D328A3">
      <w:pPr>
        <w:spacing w:after="0" w:line="240" w:lineRule="auto"/>
      </w:pPr>
      <w:r>
        <w:separator/>
      </w:r>
    </w:p>
  </w:endnote>
  <w:endnote w:type="continuationSeparator" w:id="0">
    <w:p w14:paraId="7552B786" w14:textId="77777777" w:rsidR="00B55EDD" w:rsidRDefault="00B55EDD" w:rsidP="00D32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5071" w14:textId="77777777" w:rsidR="00B55EDD" w:rsidRDefault="00B55EDD" w:rsidP="00D328A3">
      <w:pPr>
        <w:spacing w:after="0" w:line="240" w:lineRule="auto"/>
      </w:pPr>
      <w:r>
        <w:separator/>
      </w:r>
    </w:p>
  </w:footnote>
  <w:footnote w:type="continuationSeparator" w:id="0">
    <w:p w14:paraId="4F6B83E8" w14:textId="77777777" w:rsidR="00B55EDD" w:rsidRDefault="00B55EDD" w:rsidP="00D32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E752A"/>
    <w:multiLevelType w:val="hybridMultilevel"/>
    <w:tmpl w:val="C388E4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A66F3"/>
    <w:multiLevelType w:val="hybridMultilevel"/>
    <w:tmpl w:val="AA9CB5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0855384">
    <w:abstractNumId w:val="1"/>
  </w:num>
  <w:num w:numId="2" w16cid:durableId="25047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oxicological Scienc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9dssxt4xtpe6eteflp2z27p9vvf900a552&quot;&gt;Chen-Chung&amp;apos;s EndNote Library-Current&lt;record-ids&gt;&lt;item&gt;7&lt;/item&gt;&lt;item&gt;179&lt;/item&gt;&lt;item&gt;374&lt;/item&gt;&lt;item&gt;624&lt;/item&gt;&lt;/record-ids&gt;&lt;/item&gt;&lt;/Libraries&gt;"/>
  </w:docVars>
  <w:rsids>
    <w:rsidRoot w:val="007E3B6B"/>
    <w:rsid w:val="0000449E"/>
    <w:rsid w:val="00023189"/>
    <w:rsid w:val="000C611B"/>
    <w:rsid w:val="000D2233"/>
    <w:rsid w:val="000D61C7"/>
    <w:rsid w:val="001025C0"/>
    <w:rsid w:val="0010642E"/>
    <w:rsid w:val="001207B5"/>
    <w:rsid w:val="00146F8D"/>
    <w:rsid w:val="001873E8"/>
    <w:rsid w:val="001943AA"/>
    <w:rsid w:val="001A09F5"/>
    <w:rsid w:val="001A79DA"/>
    <w:rsid w:val="001B5AD8"/>
    <w:rsid w:val="001C73CB"/>
    <w:rsid w:val="001E1EBE"/>
    <w:rsid w:val="001F2120"/>
    <w:rsid w:val="00213D5E"/>
    <w:rsid w:val="00236299"/>
    <w:rsid w:val="00245CDB"/>
    <w:rsid w:val="00256A78"/>
    <w:rsid w:val="00266D32"/>
    <w:rsid w:val="00287482"/>
    <w:rsid w:val="002A55CC"/>
    <w:rsid w:val="002E4ED4"/>
    <w:rsid w:val="00310D91"/>
    <w:rsid w:val="00322125"/>
    <w:rsid w:val="0032726D"/>
    <w:rsid w:val="0033049D"/>
    <w:rsid w:val="00352335"/>
    <w:rsid w:val="00363CDC"/>
    <w:rsid w:val="003A1A5F"/>
    <w:rsid w:val="003E3D02"/>
    <w:rsid w:val="004233B3"/>
    <w:rsid w:val="00433904"/>
    <w:rsid w:val="004660CB"/>
    <w:rsid w:val="004878A7"/>
    <w:rsid w:val="004907BA"/>
    <w:rsid w:val="004A28EB"/>
    <w:rsid w:val="004A572D"/>
    <w:rsid w:val="004F3484"/>
    <w:rsid w:val="00503878"/>
    <w:rsid w:val="005137DA"/>
    <w:rsid w:val="00514202"/>
    <w:rsid w:val="00517183"/>
    <w:rsid w:val="0052749D"/>
    <w:rsid w:val="00546D33"/>
    <w:rsid w:val="00552C14"/>
    <w:rsid w:val="00555F11"/>
    <w:rsid w:val="005A547B"/>
    <w:rsid w:val="005B5773"/>
    <w:rsid w:val="005C25F4"/>
    <w:rsid w:val="005D32DF"/>
    <w:rsid w:val="005E11DF"/>
    <w:rsid w:val="005E5A0E"/>
    <w:rsid w:val="005E66B2"/>
    <w:rsid w:val="005F0063"/>
    <w:rsid w:val="0060175A"/>
    <w:rsid w:val="00607C99"/>
    <w:rsid w:val="00630765"/>
    <w:rsid w:val="00630B71"/>
    <w:rsid w:val="00653F51"/>
    <w:rsid w:val="00656115"/>
    <w:rsid w:val="0065777C"/>
    <w:rsid w:val="006E17D3"/>
    <w:rsid w:val="006F5D2C"/>
    <w:rsid w:val="007101D0"/>
    <w:rsid w:val="00717ACE"/>
    <w:rsid w:val="00725418"/>
    <w:rsid w:val="00731046"/>
    <w:rsid w:val="00773937"/>
    <w:rsid w:val="00784A87"/>
    <w:rsid w:val="007C3486"/>
    <w:rsid w:val="007E36B3"/>
    <w:rsid w:val="007E3B6B"/>
    <w:rsid w:val="00811A61"/>
    <w:rsid w:val="00812616"/>
    <w:rsid w:val="00870D8D"/>
    <w:rsid w:val="0087263A"/>
    <w:rsid w:val="00873559"/>
    <w:rsid w:val="008844C8"/>
    <w:rsid w:val="0089177B"/>
    <w:rsid w:val="008B4F9E"/>
    <w:rsid w:val="008C1264"/>
    <w:rsid w:val="008C2EE8"/>
    <w:rsid w:val="008C5A29"/>
    <w:rsid w:val="00906472"/>
    <w:rsid w:val="00906D29"/>
    <w:rsid w:val="0093771F"/>
    <w:rsid w:val="00945B7B"/>
    <w:rsid w:val="00972227"/>
    <w:rsid w:val="00981385"/>
    <w:rsid w:val="0098151F"/>
    <w:rsid w:val="00987BFA"/>
    <w:rsid w:val="00A06EE4"/>
    <w:rsid w:val="00A124C5"/>
    <w:rsid w:val="00A14B56"/>
    <w:rsid w:val="00A32AAA"/>
    <w:rsid w:val="00A35A44"/>
    <w:rsid w:val="00A634C8"/>
    <w:rsid w:val="00A64D63"/>
    <w:rsid w:val="00A650B0"/>
    <w:rsid w:val="00A7440D"/>
    <w:rsid w:val="00A750AE"/>
    <w:rsid w:val="00A87369"/>
    <w:rsid w:val="00AA2092"/>
    <w:rsid w:val="00AA6A66"/>
    <w:rsid w:val="00AB27CA"/>
    <w:rsid w:val="00AC5346"/>
    <w:rsid w:val="00AD7B3F"/>
    <w:rsid w:val="00B446AE"/>
    <w:rsid w:val="00B55EDD"/>
    <w:rsid w:val="00B82E6D"/>
    <w:rsid w:val="00B867B8"/>
    <w:rsid w:val="00BA0A92"/>
    <w:rsid w:val="00BC5D12"/>
    <w:rsid w:val="00BE7144"/>
    <w:rsid w:val="00C10297"/>
    <w:rsid w:val="00C31AC3"/>
    <w:rsid w:val="00C557EB"/>
    <w:rsid w:val="00C70B64"/>
    <w:rsid w:val="00C944DD"/>
    <w:rsid w:val="00C94F26"/>
    <w:rsid w:val="00CC796A"/>
    <w:rsid w:val="00CC7CFC"/>
    <w:rsid w:val="00CE2761"/>
    <w:rsid w:val="00CF7B6C"/>
    <w:rsid w:val="00D31D0F"/>
    <w:rsid w:val="00D328A3"/>
    <w:rsid w:val="00D55564"/>
    <w:rsid w:val="00D63376"/>
    <w:rsid w:val="00DA0E68"/>
    <w:rsid w:val="00DD3219"/>
    <w:rsid w:val="00DE4295"/>
    <w:rsid w:val="00DF5135"/>
    <w:rsid w:val="00E15E04"/>
    <w:rsid w:val="00E206F1"/>
    <w:rsid w:val="00E24911"/>
    <w:rsid w:val="00E25C87"/>
    <w:rsid w:val="00E4559E"/>
    <w:rsid w:val="00E71D5D"/>
    <w:rsid w:val="00E83BAD"/>
    <w:rsid w:val="00E94909"/>
    <w:rsid w:val="00EA0B45"/>
    <w:rsid w:val="00EB3558"/>
    <w:rsid w:val="00EE6DA0"/>
    <w:rsid w:val="00EE7795"/>
    <w:rsid w:val="00EF21FA"/>
    <w:rsid w:val="00F1655E"/>
    <w:rsid w:val="00F261F5"/>
    <w:rsid w:val="00F36968"/>
    <w:rsid w:val="00F51AEC"/>
    <w:rsid w:val="00F5391D"/>
    <w:rsid w:val="00F80578"/>
    <w:rsid w:val="00F83613"/>
    <w:rsid w:val="00FA159B"/>
    <w:rsid w:val="00FA2B60"/>
    <w:rsid w:val="00FC4570"/>
    <w:rsid w:val="00FC7C24"/>
    <w:rsid w:val="00FE1C76"/>
    <w:rsid w:val="00FE7259"/>
    <w:rsid w:val="00FF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8EF02"/>
  <w15:chartTrackingRefBased/>
  <w15:docId w15:val="{50C4B8C6-A721-4BCF-ACF6-3E5E710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24C5"/>
    <w:pPr>
      <w:spacing w:after="0" w:line="240" w:lineRule="auto"/>
      <w:ind w:left="720"/>
      <w:contextualSpacing/>
    </w:pPr>
    <w:rPr>
      <w:rFonts w:ascii="Calibri" w:hAnsi="Calibri" w:cs="Calibri"/>
    </w:rPr>
  </w:style>
  <w:style w:type="paragraph" w:customStyle="1" w:styleId="EndNoteBibliographyTitle">
    <w:name w:val="EndNote Bibliography Title"/>
    <w:basedOn w:val="Normal"/>
    <w:link w:val="EndNoteBibliographyTitleChar"/>
    <w:rsid w:val="00B446AE"/>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B446AE"/>
    <w:rPr>
      <w:rFonts w:ascii="Calibri" w:hAnsi="Calibri" w:cs="Calibri"/>
    </w:rPr>
  </w:style>
  <w:style w:type="character" w:customStyle="1" w:styleId="EndNoteBibliographyTitleChar">
    <w:name w:val="EndNote Bibliography Title Char"/>
    <w:basedOn w:val="ListParagraphChar"/>
    <w:link w:val="EndNoteBibliographyTitle"/>
    <w:rsid w:val="00B446AE"/>
    <w:rPr>
      <w:rFonts w:ascii="Calibri" w:hAnsi="Calibri" w:cs="Calibri"/>
      <w:noProof/>
    </w:rPr>
  </w:style>
  <w:style w:type="paragraph" w:customStyle="1" w:styleId="EndNoteBibliography">
    <w:name w:val="EndNote Bibliography"/>
    <w:basedOn w:val="Normal"/>
    <w:link w:val="EndNoteBibliographyChar"/>
    <w:rsid w:val="00B446AE"/>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B446AE"/>
    <w:rPr>
      <w:rFonts w:ascii="Calibri" w:hAnsi="Calibri" w:cs="Calibri"/>
      <w:noProof/>
    </w:rPr>
  </w:style>
  <w:style w:type="character" w:styleId="Hyperlink">
    <w:name w:val="Hyperlink"/>
    <w:basedOn w:val="DefaultParagraphFont"/>
    <w:uiPriority w:val="99"/>
    <w:unhideWhenUsed/>
    <w:rsid w:val="00AB27CA"/>
    <w:rPr>
      <w:color w:val="0563C1" w:themeColor="hyperlink"/>
      <w:u w:val="single"/>
    </w:rPr>
  </w:style>
  <w:style w:type="character" w:styleId="UnresolvedMention">
    <w:name w:val="Unresolved Mention"/>
    <w:basedOn w:val="DefaultParagraphFont"/>
    <w:uiPriority w:val="99"/>
    <w:semiHidden/>
    <w:unhideWhenUsed/>
    <w:rsid w:val="00AB2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l7@cdc.gov" TargetMode="External"/><Relationship Id="rId3" Type="http://schemas.openxmlformats.org/officeDocument/2006/relationships/settings" Target="settings.xml"/><Relationship Id="rId7" Type="http://schemas.openxmlformats.org/officeDocument/2006/relationships/hyperlink" Target="mailto:mjy2@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yf2@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Chen-Chung (CDC/NIOSH/HELD/ACIB)</dc:creator>
  <cp:keywords/>
  <dc:description/>
  <cp:lastModifiedBy>Strahin, Jennifer (CDC/NIOSH/HELD)</cp:lastModifiedBy>
  <cp:revision>154</cp:revision>
  <dcterms:created xsi:type="dcterms:W3CDTF">2021-06-16T19:08:00Z</dcterms:created>
  <dcterms:modified xsi:type="dcterms:W3CDTF">2023-11-28T19:39:00Z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2021-05-27T17:10:13Z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fe4c5aa3-2111-4b2e-9a7d-55d1db7378dd</vt:lpwstr>
  </property>
  <property fmtid="{D5CDD505-2E9C-101B-9397-08002B2CF9AE}" pid="8" name="MSIP_Label_7b94a7b8-f06c-4dfe-bdcc-9b548fd58c31_ContentBits">
    <vt:lpwstr>0</vt:lpwstr>
  </property>
</Properties>
</file>