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140F" w14:textId="73ED454D" w:rsidR="00ED3C3E" w:rsidRDefault="00335B1B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35B1B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30 </w:t>
      </w:r>
      <w:proofErr w:type="gramStart"/>
      <w:r w:rsidRPr="00335B1B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335B1B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335B1B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Juega imaginariamente con las cosas; por ejemplo, alimenta una muñeca con un bloque de madera como si fuera comida</w:t>
      </w:r>
    </w:p>
    <w:p w14:paraId="05A94790" w14:textId="65ECAE13" w:rsidR="00335B1B" w:rsidRPr="00335B1B" w:rsidRDefault="00335B1B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35B1B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La </w:t>
      </w:r>
      <w:r w:rsidRPr="00335B1B">
        <w:rPr>
          <w:rFonts w:ascii="Times New Roman" w:hAnsi="Times New Roman" w:cs="Times New Roman"/>
          <w:sz w:val="24"/>
          <w:szCs w:val="24"/>
          <w:lang w:val="es-419"/>
        </w:rPr>
        <w:t>niña,</w:t>
      </w:r>
      <w:r w:rsidRPr="00335B1B">
        <w:rPr>
          <w:rFonts w:ascii="Times New Roman" w:hAnsi="Times New Roman" w:cs="Times New Roman"/>
          <w:sz w:val="24"/>
          <w:szCs w:val="24"/>
          <w:lang w:val="es-419"/>
        </w:rPr>
        <w:t xml:space="preserve"> alimenta una muñeca con un bloque de madera como si fuera comida</w:t>
      </w:r>
      <w:r w:rsidRPr="00335B1B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sectPr w:rsidR="00335B1B" w:rsidRPr="0033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1B"/>
    <w:rsid w:val="00335B1B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CBE06"/>
  <w15:chartTrackingRefBased/>
  <w15:docId w15:val="{3A52D870-D120-4421-B151-4ADD409B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B273966F-AFB0-4FCE-A19F-A9B400F96FEB}"/>
</file>

<file path=customXml/itemProps2.xml><?xml version="1.0" encoding="utf-8"?>
<ds:datastoreItem xmlns:ds="http://schemas.openxmlformats.org/officeDocument/2006/customXml" ds:itemID="{314B1858-CFD2-48DB-A1C6-DA49E822D156}"/>
</file>

<file path=customXml/itemProps3.xml><?xml version="1.0" encoding="utf-8"?>
<ds:datastoreItem xmlns:ds="http://schemas.openxmlformats.org/officeDocument/2006/customXml" ds:itemID="{0812C677-0F2E-4E35-AFBA-86AA85B40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2023-09-21T10:42:00Z</dcterms:created>
  <dcterms:modified xsi:type="dcterms:W3CDTF">2023-09-21T10:46:00Z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