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9026" w14:textId="76E1582D" w:rsidR="00F70DA2" w:rsidRDefault="00F70DA2" w:rsidP="00F36F63">
      <w:pPr>
        <w:spacing w:after="120"/>
        <w:jc w:val="center"/>
        <w:rPr>
          <w:b/>
          <w:sz w:val="28"/>
          <w:szCs w:val="28"/>
        </w:rPr>
      </w:pPr>
      <w:r>
        <w:rPr>
          <w:b/>
          <w:noProof/>
          <w:sz w:val="28"/>
          <w:szCs w:val="28"/>
        </w:rPr>
        <w:drawing>
          <wp:inline distT="0" distB="0" distL="0" distR="0" wp14:anchorId="5C65850A" wp14:editId="454FC61F">
            <wp:extent cx="2656295" cy="1775931"/>
            <wp:effectExtent l="0" t="0" r="0" b="0"/>
            <wp:docPr id="1" name="Picture 1" descr="Logo: ERASE MM (Enhancing Reviews and Surveillance to Eliminate Maternal Mor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ERASE MM (Enhancing Reviews and Surveillance to Eliminate Maternal Mortal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2769" cy="1793631"/>
                    </a:xfrm>
                    <a:prstGeom prst="rect">
                      <a:avLst/>
                    </a:prstGeom>
                  </pic:spPr>
                </pic:pic>
              </a:graphicData>
            </a:graphic>
          </wp:inline>
        </w:drawing>
      </w:r>
      <w:r>
        <w:rPr>
          <w:b/>
          <w:noProof/>
          <w:sz w:val="28"/>
          <w:szCs w:val="28"/>
        </w:rPr>
        <w:drawing>
          <wp:inline distT="0" distB="0" distL="0" distR="0" wp14:anchorId="3E00B833" wp14:editId="02368C0D">
            <wp:extent cx="2837847" cy="1777032"/>
            <wp:effectExtent l="0" t="0" r="635" b="0"/>
            <wp:docPr id="3" name="Picture 3" descr="Logo: MMRIA (Maternal Mortality Review Information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MMRIA (Maternal Mortality Review Information Applicati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5872" cy="1800843"/>
                    </a:xfrm>
                    <a:prstGeom prst="rect">
                      <a:avLst/>
                    </a:prstGeom>
                  </pic:spPr>
                </pic:pic>
              </a:graphicData>
            </a:graphic>
          </wp:inline>
        </w:drawing>
      </w:r>
    </w:p>
    <w:p w14:paraId="7FF744C6" w14:textId="7359B422" w:rsidR="00F36F63" w:rsidRDefault="00F36F63" w:rsidP="00F36F63">
      <w:pPr>
        <w:spacing w:after="120"/>
        <w:jc w:val="center"/>
        <w:rPr>
          <w:b/>
          <w:sz w:val="28"/>
          <w:szCs w:val="28"/>
        </w:rPr>
      </w:pPr>
      <w:r w:rsidRPr="00F36F63">
        <w:rPr>
          <w:b/>
          <w:sz w:val="28"/>
          <w:szCs w:val="28"/>
        </w:rPr>
        <w:t>MATERNAL MORTALITY REVIEW INFORMATION APPLICATION (MMRIA)</w:t>
      </w:r>
    </w:p>
    <w:p w14:paraId="40AAAE00" w14:textId="045892DF" w:rsidR="007F6A96" w:rsidRPr="00F36F63" w:rsidRDefault="007F6A96" w:rsidP="00F36F63">
      <w:pPr>
        <w:spacing w:after="120"/>
        <w:jc w:val="center"/>
        <w:rPr>
          <w:b/>
          <w:sz w:val="28"/>
          <w:szCs w:val="28"/>
        </w:rPr>
      </w:pPr>
    </w:p>
    <w:p w14:paraId="6449C817" w14:textId="09E32938" w:rsidR="00F36F63" w:rsidRPr="00F36F63" w:rsidRDefault="007F6A96" w:rsidP="00F70DA2">
      <w:pPr>
        <w:spacing w:after="120"/>
        <w:jc w:val="center"/>
        <w:rPr>
          <w:b/>
          <w:sz w:val="44"/>
          <w:szCs w:val="44"/>
        </w:rPr>
      </w:pPr>
      <w:r w:rsidRPr="00F36F63">
        <w:rPr>
          <w:b/>
          <w:sz w:val="44"/>
          <w:szCs w:val="44"/>
        </w:rPr>
        <w:t>DATA SHARING AGREEMENT (DSA)</w:t>
      </w:r>
    </w:p>
    <w:p w14:paraId="109A9753" w14:textId="77777777" w:rsidR="00141B63" w:rsidRPr="00141B63" w:rsidRDefault="00141B63" w:rsidP="00F36F63">
      <w:pPr>
        <w:spacing w:after="120" w:line="240" w:lineRule="auto"/>
        <w:jc w:val="center"/>
        <w:rPr>
          <w:rFonts w:eastAsia="Times New Roman" w:cstheme="minorHAnsi"/>
          <w:b/>
          <w:bCs/>
          <w:sz w:val="32"/>
          <w:szCs w:val="32"/>
          <w:lang w:eastAsia="en-GB"/>
        </w:rPr>
      </w:pPr>
      <w:r w:rsidRPr="00141B63">
        <w:rPr>
          <w:rFonts w:eastAsia="Times New Roman" w:cstheme="minorHAnsi"/>
          <w:b/>
          <w:bCs/>
          <w:sz w:val="32"/>
          <w:szCs w:val="32"/>
          <w:lang w:eastAsia="en-GB"/>
        </w:rPr>
        <w:t>Between</w:t>
      </w:r>
    </w:p>
    <w:p w14:paraId="3BA693DA" w14:textId="085243C6" w:rsidR="007F6A96" w:rsidRPr="007F6A96" w:rsidRDefault="007F6A96" w:rsidP="00F36F63">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w:t>
      </w:r>
      <w:r w:rsidRPr="00F36F63">
        <w:rPr>
          <w:rFonts w:eastAsia="Times New Roman" w:cstheme="minorHAnsi"/>
          <w:b/>
          <w:bCs/>
          <w:sz w:val="40"/>
          <w:szCs w:val="40"/>
          <w:highlight w:val="lightGray"/>
          <w:lang w:eastAsia="en-GB"/>
        </w:rPr>
        <w:t>STATE/JURISDICTION</w:t>
      </w:r>
      <w:r w:rsidRPr="007F6A96">
        <w:rPr>
          <w:rFonts w:eastAsia="Times New Roman" w:cstheme="minorHAnsi"/>
          <w:b/>
          <w:bCs/>
          <w:sz w:val="40"/>
          <w:szCs w:val="40"/>
          <w:lang w:eastAsia="en-GB"/>
        </w:rPr>
        <w:t>]</w:t>
      </w:r>
    </w:p>
    <w:p w14:paraId="39D9A49D" w14:textId="6201989D" w:rsidR="007F6A96" w:rsidRPr="00F36F63" w:rsidRDefault="007F6A96" w:rsidP="00F36F63">
      <w:pPr>
        <w:spacing w:after="120" w:line="240" w:lineRule="auto"/>
        <w:jc w:val="center"/>
        <w:rPr>
          <w:rFonts w:eastAsia="Times New Roman" w:cstheme="minorHAnsi"/>
          <w:b/>
          <w:bCs/>
          <w:sz w:val="32"/>
          <w:szCs w:val="32"/>
          <w:lang w:eastAsia="en-GB"/>
        </w:rPr>
      </w:pPr>
      <w:r w:rsidRPr="00F36F63">
        <w:rPr>
          <w:rFonts w:eastAsia="Times New Roman" w:cstheme="minorHAnsi"/>
          <w:b/>
          <w:bCs/>
          <w:sz w:val="32"/>
          <w:szCs w:val="32"/>
          <w:lang w:eastAsia="en-GB"/>
        </w:rPr>
        <w:t>A</w:t>
      </w:r>
      <w:r w:rsidR="00F36F63">
        <w:rPr>
          <w:rFonts w:eastAsia="Times New Roman" w:cstheme="minorHAnsi"/>
          <w:b/>
          <w:bCs/>
          <w:sz w:val="32"/>
          <w:szCs w:val="32"/>
          <w:lang w:eastAsia="en-GB"/>
        </w:rPr>
        <w:t>nd</w:t>
      </w:r>
    </w:p>
    <w:p w14:paraId="61B175FF" w14:textId="6E803903" w:rsidR="00E54143" w:rsidRDefault="00E54143" w:rsidP="00F70DA2">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MATERNAL MORTALITY PREVENTION TEAM</w:t>
      </w:r>
    </w:p>
    <w:p w14:paraId="15AC11D0" w14:textId="6A3DD8C2" w:rsidR="00141B63" w:rsidRPr="007F6A96" w:rsidRDefault="007F6A96" w:rsidP="00F36F63">
      <w:pPr>
        <w:spacing w:after="120" w:line="240" w:lineRule="auto"/>
        <w:jc w:val="center"/>
        <w:rPr>
          <w:rFonts w:eastAsia="Times New Roman" w:cstheme="minorHAnsi"/>
          <w:b/>
          <w:bCs/>
          <w:sz w:val="40"/>
          <w:szCs w:val="40"/>
          <w:lang w:eastAsia="en-GB"/>
        </w:rPr>
      </w:pPr>
      <w:r w:rsidRPr="007F6A96">
        <w:rPr>
          <w:rFonts w:eastAsia="Times New Roman" w:cstheme="minorHAnsi"/>
          <w:b/>
          <w:bCs/>
          <w:sz w:val="40"/>
          <w:szCs w:val="40"/>
          <w:lang w:eastAsia="en-GB"/>
        </w:rPr>
        <w:t>CENTERS FOR</w:t>
      </w:r>
      <w:r w:rsidR="00F36F63">
        <w:rPr>
          <w:rFonts w:eastAsia="Times New Roman" w:cstheme="minorHAnsi"/>
          <w:b/>
          <w:bCs/>
          <w:sz w:val="40"/>
          <w:szCs w:val="40"/>
          <w:lang w:eastAsia="en-GB"/>
        </w:rPr>
        <w:t xml:space="preserve"> DISEASE CONTROL AND PREVENTION</w:t>
      </w:r>
    </w:p>
    <w:p w14:paraId="4D4D8C43" w14:textId="1A5C9D44" w:rsidR="00F36F63" w:rsidRDefault="00F70DA2" w:rsidP="00F70DA2">
      <w:pPr>
        <w:spacing w:after="120" w:line="240" w:lineRule="auto"/>
        <w:jc w:val="center"/>
        <w:rPr>
          <w:b/>
          <w:sz w:val="40"/>
          <w:szCs w:val="40"/>
        </w:rPr>
      </w:pPr>
      <w:r>
        <w:rPr>
          <w:b/>
          <w:noProof/>
          <w:sz w:val="40"/>
          <w:szCs w:val="40"/>
        </w:rPr>
        <w:drawing>
          <wp:inline distT="0" distB="0" distL="0" distR="0" wp14:anchorId="641ED8B4" wp14:editId="0502187D">
            <wp:extent cx="1314450" cy="812800"/>
            <wp:effectExtent l="0" t="0" r="0" b="6350"/>
            <wp:docPr id="4" name="Picture 4" descr="Logo: CDC (Centers for Disease Control and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DC (Centers for Disease Control and Preven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812800"/>
                    </a:xfrm>
                    <a:prstGeom prst="rect">
                      <a:avLst/>
                    </a:prstGeom>
                    <a:noFill/>
                    <a:ln>
                      <a:noFill/>
                    </a:ln>
                  </pic:spPr>
                </pic:pic>
              </a:graphicData>
            </a:graphic>
          </wp:inline>
        </w:drawing>
      </w:r>
    </w:p>
    <w:p w14:paraId="3F27EEA0" w14:textId="2222E23F" w:rsidR="00F36F63" w:rsidRDefault="00F36F63" w:rsidP="00F36F63">
      <w:pPr>
        <w:spacing w:after="120" w:line="240" w:lineRule="auto"/>
        <w:jc w:val="center"/>
        <w:rPr>
          <w:b/>
          <w:sz w:val="40"/>
          <w:szCs w:val="40"/>
        </w:rPr>
      </w:pPr>
    </w:p>
    <w:p w14:paraId="67CCAA90" w14:textId="3CEAC9EE" w:rsidR="00F36F63" w:rsidRDefault="00A302CD" w:rsidP="00F36F63">
      <w:pPr>
        <w:spacing w:after="120" w:line="240" w:lineRule="auto"/>
        <w:jc w:val="center"/>
        <w:rPr>
          <w:b/>
          <w:sz w:val="40"/>
          <w:szCs w:val="40"/>
        </w:rPr>
      </w:pPr>
      <w:r>
        <w:rPr>
          <w:rFonts w:eastAsia="Times New Roman" w:cstheme="minorHAnsi"/>
          <w:bCs/>
          <w:iCs/>
          <w:sz w:val="32"/>
          <w:szCs w:val="32"/>
          <w:lang w:eastAsia="en-GB"/>
        </w:rPr>
        <w:t>Version</w:t>
      </w:r>
      <w:r w:rsidRPr="00141B63">
        <w:rPr>
          <w:rFonts w:eastAsia="Times New Roman" w:cstheme="minorHAnsi"/>
          <w:bCs/>
          <w:iCs/>
          <w:sz w:val="32"/>
          <w:szCs w:val="32"/>
          <w:lang w:eastAsia="en-GB"/>
        </w:rPr>
        <w:t xml:space="preserve"> </w:t>
      </w:r>
      <w:r>
        <w:rPr>
          <w:rFonts w:eastAsia="Times New Roman" w:cstheme="minorHAnsi"/>
          <w:bCs/>
          <w:iCs/>
          <w:sz w:val="32"/>
          <w:szCs w:val="32"/>
          <w:lang w:eastAsia="en-GB"/>
        </w:rPr>
        <w:t>0</w:t>
      </w:r>
      <w:r w:rsidRPr="00141B63">
        <w:rPr>
          <w:rFonts w:eastAsia="Times New Roman" w:cstheme="minorHAnsi"/>
          <w:bCs/>
          <w:iCs/>
          <w:sz w:val="32"/>
          <w:szCs w:val="32"/>
          <w:lang w:eastAsia="en-GB"/>
        </w:rPr>
        <w:t>.</w:t>
      </w:r>
      <w:r w:rsidR="00CB6696">
        <w:rPr>
          <w:rFonts w:eastAsia="Times New Roman" w:cstheme="minorHAnsi"/>
          <w:bCs/>
          <w:iCs/>
          <w:sz w:val="32"/>
          <w:szCs w:val="32"/>
          <w:lang w:eastAsia="en-GB"/>
        </w:rPr>
        <w:t>8</w:t>
      </w:r>
    </w:p>
    <w:p w14:paraId="62A9559A" w14:textId="2FF0BCF4" w:rsidR="00141B63" w:rsidRPr="00141B63" w:rsidRDefault="00CB6696" w:rsidP="00F36F63">
      <w:pPr>
        <w:spacing w:after="120" w:line="240" w:lineRule="auto"/>
        <w:jc w:val="center"/>
        <w:rPr>
          <w:rFonts w:eastAsia="Times New Roman" w:cstheme="minorHAnsi"/>
          <w:bCs/>
          <w:iCs/>
          <w:sz w:val="32"/>
          <w:szCs w:val="32"/>
          <w:lang w:eastAsia="en-GB"/>
        </w:rPr>
      </w:pPr>
      <w:r>
        <w:rPr>
          <w:rFonts w:eastAsia="Times New Roman" w:cstheme="minorHAnsi"/>
          <w:bCs/>
          <w:iCs/>
          <w:sz w:val="32"/>
          <w:szCs w:val="32"/>
          <w:lang w:eastAsia="en-GB"/>
        </w:rPr>
        <w:t>June</w:t>
      </w:r>
      <w:r w:rsidR="004E7242">
        <w:rPr>
          <w:rFonts w:eastAsia="Times New Roman" w:cstheme="minorHAnsi"/>
          <w:bCs/>
          <w:iCs/>
          <w:sz w:val="32"/>
          <w:szCs w:val="32"/>
          <w:lang w:eastAsia="en-GB"/>
        </w:rPr>
        <w:t xml:space="preserve"> </w:t>
      </w:r>
      <w:r w:rsidR="00243E67">
        <w:rPr>
          <w:rFonts w:eastAsia="Times New Roman" w:cstheme="minorHAnsi"/>
          <w:bCs/>
          <w:iCs/>
          <w:sz w:val="32"/>
          <w:szCs w:val="32"/>
          <w:lang w:eastAsia="en-GB"/>
        </w:rPr>
        <w:t>15</w:t>
      </w:r>
      <w:r w:rsidR="004E7242">
        <w:rPr>
          <w:rFonts w:eastAsia="Times New Roman" w:cstheme="minorHAnsi"/>
          <w:bCs/>
          <w:iCs/>
          <w:sz w:val="32"/>
          <w:szCs w:val="32"/>
          <w:lang w:eastAsia="en-GB"/>
        </w:rPr>
        <w:t>, 202</w:t>
      </w:r>
      <w:r w:rsidR="00243E67">
        <w:rPr>
          <w:rFonts w:eastAsia="Times New Roman" w:cstheme="minorHAnsi"/>
          <w:bCs/>
          <w:iCs/>
          <w:sz w:val="32"/>
          <w:szCs w:val="32"/>
          <w:lang w:eastAsia="en-GB"/>
        </w:rPr>
        <w:t>2</w:t>
      </w:r>
    </w:p>
    <w:p w14:paraId="4EEDCF73" w14:textId="143C55CF" w:rsidR="00141B63" w:rsidRPr="007F6A96" w:rsidRDefault="00141B63">
      <w:pPr>
        <w:rPr>
          <w:sz w:val="40"/>
          <w:szCs w:val="40"/>
        </w:rPr>
      </w:pPr>
    </w:p>
    <w:p w14:paraId="69B4904F" w14:textId="77777777" w:rsidR="00141B63" w:rsidRDefault="00141B63">
      <w:pPr>
        <w:sectPr w:rsidR="00141B63" w:rsidSect="00F36F63">
          <w:headerReference w:type="default" r:id="rId11"/>
          <w:footerReference w:type="default" r:id="rId12"/>
          <w:headerReference w:type="first" r:id="rId13"/>
          <w:pgSz w:w="12240" w:h="15840"/>
          <w:pgMar w:top="1440" w:right="1080" w:bottom="1440" w:left="1080" w:header="450" w:footer="720" w:gutter="0"/>
          <w:pgNumType w:start="0"/>
          <w:cols w:space="720"/>
          <w:titlePg/>
          <w:docGrid w:linePitch="360"/>
        </w:sectPr>
      </w:pPr>
    </w:p>
    <w:sdt>
      <w:sdtPr>
        <w:rPr>
          <w:rFonts w:asciiTheme="minorHAnsi" w:eastAsiaTheme="minorHAnsi" w:hAnsiTheme="minorHAnsi" w:cstheme="minorBidi"/>
          <w:b w:val="0"/>
          <w:color w:val="auto"/>
          <w:sz w:val="22"/>
          <w:szCs w:val="22"/>
        </w:rPr>
        <w:id w:val="-476532946"/>
        <w:docPartObj>
          <w:docPartGallery w:val="Table of Contents"/>
          <w:docPartUnique/>
        </w:docPartObj>
      </w:sdtPr>
      <w:sdtEndPr>
        <w:rPr>
          <w:bCs/>
          <w:noProof/>
        </w:rPr>
      </w:sdtEndPr>
      <w:sdtContent>
        <w:p w14:paraId="72786F2A" w14:textId="3F938F44" w:rsidR="00E1291F" w:rsidRDefault="00E1291F" w:rsidP="003665BC">
          <w:pPr>
            <w:pStyle w:val="TOCHeading"/>
            <w:numPr>
              <w:ilvl w:val="0"/>
              <w:numId w:val="0"/>
            </w:numPr>
            <w:ind w:left="360" w:hanging="360"/>
          </w:pPr>
          <w:r>
            <w:t>Contents</w:t>
          </w:r>
        </w:p>
        <w:p w14:paraId="6F969619" w14:textId="5577C4E5" w:rsidR="0089318A" w:rsidRDefault="00E1291F">
          <w:pPr>
            <w:pStyle w:val="TOC1"/>
            <w:tabs>
              <w:tab w:val="left" w:pos="440"/>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0066686" w:history="1">
            <w:r w:rsidR="0089318A" w:rsidRPr="00166E08">
              <w:rPr>
                <w:rStyle w:val="Hyperlink"/>
                <w:noProof/>
              </w:rPr>
              <w:t>1.</w:t>
            </w:r>
            <w:r w:rsidR="0089318A">
              <w:rPr>
                <w:rFonts w:eastAsiaTheme="minorEastAsia"/>
                <w:noProof/>
              </w:rPr>
              <w:tab/>
            </w:r>
            <w:r w:rsidR="0089318A" w:rsidRPr="00166E08">
              <w:rPr>
                <w:rStyle w:val="Hyperlink"/>
                <w:noProof/>
              </w:rPr>
              <w:t>Purpose</w:t>
            </w:r>
            <w:r w:rsidR="0089318A">
              <w:rPr>
                <w:noProof/>
                <w:webHidden/>
              </w:rPr>
              <w:tab/>
            </w:r>
            <w:r w:rsidR="0089318A">
              <w:rPr>
                <w:noProof/>
                <w:webHidden/>
              </w:rPr>
              <w:fldChar w:fldCharType="begin"/>
            </w:r>
            <w:r w:rsidR="0089318A">
              <w:rPr>
                <w:noProof/>
                <w:webHidden/>
              </w:rPr>
              <w:instrText xml:space="preserve"> PAGEREF _Toc50066686 \h </w:instrText>
            </w:r>
            <w:r w:rsidR="0089318A">
              <w:rPr>
                <w:noProof/>
                <w:webHidden/>
              </w:rPr>
            </w:r>
            <w:r w:rsidR="0089318A">
              <w:rPr>
                <w:noProof/>
                <w:webHidden/>
              </w:rPr>
              <w:fldChar w:fldCharType="separate"/>
            </w:r>
            <w:r w:rsidR="0070108E">
              <w:rPr>
                <w:noProof/>
                <w:webHidden/>
              </w:rPr>
              <w:t>1</w:t>
            </w:r>
            <w:r w:rsidR="0089318A">
              <w:rPr>
                <w:noProof/>
                <w:webHidden/>
              </w:rPr>
              <w:fldChar w:fldCharType="end"/>
            </w:r>
          </w:hyperlink>
        </w:p>
        <w:p w14:paraId="7F091E09" w14:textId="79FA24DF" w:rsidR="0089318A" w:rsidRDefault="00C4321E">
          <w:pPr>
            <w:pStyle w:val="TOC1"/>
            <w:tabs>
              <w:tab w:val="left" w:pos="440"/>
              <w:tab w:val="right" w:leader="dot" w:pos="9350"/>
            </w:tabs>
            <w:rPr>
              <w:rFonts w:eastAsiaTheme="minorEastAsia"/>
              <w:noProof/>
            </w:rPr>
          </w:pPr>
          <w:hyperlink w:anchor="_Toc50066687" w:history="1">
            <w:r w:rsidR="0089318A" w:rsidRPr="00166E08">
              <w:rPr>
                <w:rStyle w:val="Hyperlink"/>
                <w:noProof/>
              </w:rPr>
              <w:t>2.</w:t>
            </w:r>
            <w:r w:rsidR="0089318A">
              <w:rPr>
                <w:rFonts w:eastAsiaTheme="minorEastAsia"/>
                <w:noProof/>
              </w:rPr>
              <w:tab/>
            </w:r>
            <w:r w:rsidR="0089318A" w:rsidRPr="00166E08">
              <w:rPr>
                <w:rStyle w:val="Hyperlink"/>
                <w:noProof/>
              </w:rPr>
              <w:t>MMRIA System Overview</w:t>
            </w:r>
            <w:r w:rsidR="0089318A">
              <w:rPr>
                <w:noProof/>
                <w:webHidden/>
              </w:rPr>
              <w:tab/>
            </w:r>
            <w:r w:rsidR="0089318A">
              <w:rPr>
                <w:noProof/>
                <w:webHidden/>
              </w:rPr>
              <w:fldChar w:fldCharType="begin"/>
            </w:r>
            <w:r w:rsidR="0089318A">
              <w:rPr>
                <w:noProof/>
                <w:webHidden/>
              </w:rPr>
              <w:instrText xml:space="preserve"> PAGEREF _Toc50066687 \h </w:instrText>
            </w:r>
            <w:r w:rsidR="0089318A">
              <w:rPr>
                <w:noProof/>
                <w:webHidden/>
              </w:rPr>
            </w:r>
            <w:r w:rsidR="0089318A">
              <w:rPr>
                <w:noProof/>
                <w:webHidden/>
              </w:rPr>
              <w:fldChar w:fldCharType="separate"/>
            </w:r>
            <w:r w:rsidR="0070108E">
              <w:rPr>
                <w:noProof/>
                <w:webHidden/>
              </w:rPr>
              <w:t>1</w:t>
            </w:r>
            <w:r w:rsidR="0089318A">
              <w:rPr>
                <w:noProof/>
                <w:webHidden/>
              </w:rPr>
              <w:fldChar w:fldCharType="end"/>
            </w:r>
          </w:hyperlink>
        </w:p>
        <w:p w14:paraId="1BD24146" w14:textId="63EC6938" w:rsidR="0089318A" w:rsidRDefault="00C4321E">
          <w:pPr>
            <w:pStyle w:val="TOC1"/>
            <w:tabs>
              <w:tab w:val="left" w:pos="440"/>
              <w:tab w:val="right" w:leader="dot" w:pos="9350"/>
            </w:tabs>
            <w:rPr>
              <w:rFonts w:eastAsiaTheme="minorEastAsia"/>
              <w:noProof/>
            </w:rPr>
          </w:pPr>
          <w:hyperlink w:anchor="_Toc50066688" w:history="1">
            <w:r w:rsidR="0089318A" w:rsidRPr="00166E08">
              <w:rPr>
                <w:rStyle w:val="Hyperlink"/>
                <w:noProof/>
              </w:rPr>
              <w:t>3.</w:t>
            </w:r>
            <w:r w:rsidR="0089318A">
              <w:rPr>
                <w:rFonts w:eastAsiaTheme="minorEastAsia"/>
                <w:noProof/>
              </w:rPr>
              <w:tab/>
            </w:r>
            <w:r w:rsidR="0089318A" w:rsidRPr="00166E08">
              <w:rPr>
                <w:rStyle w:val="Hyperlink"/>
                <w:noProof/>
              </w:rPr>
              <w:t>Data Captured in MMRIA</w:t>
            </w:r>
            <w:r w:rsidR="0089318A">
              <w:rPr>
                <w:noProof/>
                <w:webHidden/>
              </w:rPr>
              <w:tab/>
            </w:r>
            <w:r w:rsidR="0089318A">
              <w:rPr>
                <w:noProof/>
                <w:webHidden/>
              </w:rPr>
              <w:fldChar w:fldCharType="begin"/>
            </w:r>
            <w:r w:rsidR="0089318A">
              <w:rPr>
                <w:noProof/>
                <w:webHidden/>
              </w:rPr>
              <w:instrText xml:space="preserve"> PAGEREF _Toc50066688 \h </w:instrText>
            </w:r>
            <w:r w:rsidR="0089318A">
              <w:rPr>
                <w:noProof/>
                <w:webHidden/>
              </w:rPr>
            </w:r>
            <w:r w:rsidR="0089318A">
              <w:rPr>
                <w:noProof/>
                <w:webHidden/>
              </w:rPr>
              <w:fldChar w:fldCharType="separate"/>
            </w:r>
            <w:r w:rsidR="0070108E">
              <w:rPr>
                <w:noProof/>
                <w:webHidden/>
              </w:rPr>
              <w:t>1</w:t>
            </w:r>
            <w:r w:rsidR="0089318A">
              <w:rPr>
                <w:noProof/>
                <w:webHidden/>
              </w:rPr>
              <w:fldChar w:fldCharType="end"/>
            </w:r>
          </w:hyperlink>
        </w:p>
        <w:p w14:paraId="6C1ED399" w14:textId="2F3167E1" w:rsidR="0089318A" w:rsidRDefault="00C4321E" w:rsidP="00F70DA2">
          <w:pPr>
            <w:pStyle w:val="TOC2"/>
            <w:tabs>
              <w:tab w:val="right" w:leader="dot" w:pos="9350"/>
            </w:tabs>
            <w:ind w:left="720"/>
            <w:rPr>
              <w:rFonts w:eastAsiaTheme="minorEastAsia"/>
              <w:noProof/>
            </w:rPr>
          </w:pPr>
          <w:hyperlink w:anchor="_Toc50066689" w:history="1">
            <w:r w:rsidR="0089318A" w:rsidRPr="00166E08">
              <w:rPr>
                <w:rStyle w:val="Hyperlink"/>
                <w:noProof/>
              </w:rPr>
              <w:t>Personally Identifiable Information</w:t>
            </w:r>
            <w:r w:rsidR="0089318A">
              <w:rPr>
                <w:noProof/>
                <w:webHidden/>
              </w:rPr>
              <w:tab/>
            </w:r>
            <w:r w:rsidR="0089318A">
              <w:rPr>
                <w:noProof/>
                <w:webHidden/>
              </w:rPr>
              <w:fldChar w:fldCharType="begin"/>
            </w:r>
            <w:r w:rsidR="0089318A">
              <w:rPr>
                <w:noProof/>
                <w:webHidden/>
              </w:rPr>
              <w:instrText xml:space="preserve"> PAGEREF _Toc50066689 \h </w:instrText>
            </w:r>
            <w:r w:rsidR="0089318A">
              <w:rPr>
                <w:noProof/>
                <w:webHidden/>
              </w:rPr>
            </w:r>
            <w:r w:rsidR="0089318A">
              <w:rPr>
                <w:noProof/>
                <w:webHidden/>
              </w:rPr>
              <w:fldChar w:fldCharType="separate"/>
            </w:r>
            <w:r w:rsidR="0070108E">
              <w:rPr>
                <w:noProof/>
                <w:webHidden/>
              </w:rPr>
              <w:t>2</w:t>
            </w:r>
            <w:r w:rsidR="0089318A">
              <w:rPr>
                <w:noProof/>
                <w:webHidden/>
              </w:rPr>
              <w:fldChar w:fldCharType="end"/>
            </w:r>
          </w:hyperlink>
        </w:p>
        <w:p w14:paraId="75A8851F" w14:textId="08034662" w:rsidR="0089318A" w:rsidRDefault="00C4321E" w:rsidP="00F70DA2">
          <w:pPr>
            <w:pStyle w:val="TOC2"/>
            <w:tabs>
              <w:tab w:val="right" w:leader="dot" w:pos="9350"/>
            </w:tabs>
            <w:ind w:left="720"/>
            <w:rPr>
              <w:rFonts w:eastAsiaTheme="minorEastAsia"/>
              <w:noProof/>
            </w:rPr>
          </w:pPr>
          <w:hyperlink w:anchor="_Toc50066690" w:history="1">
            <w:r w:rsidR="0089318A" w:rsidRPr="00166E08">
              <w:rPr>
                <w:rStyle w:val="Hyperlink"/>
                <w:noProof/>
              </w:rPr>
              <w:t>Data Ownership</w:t>
            </w:r>
            <w:r w:rsidR="0089318A">
              <w:rPr>
                <w:noProof/>
                <w:webHidden/>
              </w:rPr>
              <w:tab/>
            </w:r>
            <w:r w:rsidR="0089318A">
              <w:rPr>
                <w:noProof/>
                <w:webHidden/>
              </w:rPr>
              <w:fldChar w:fldCharType="begin"/>
            </w:r>
            <w:r w:rsidR="0089318A">
              <w:rPr>
                <w:noProof/>
                <w:webHidden/>
              </w:rPr>
              <w:instrText xml:space="preserve"> PAGEREF _Toc50066690 \h </w:instrText>
            </w:r>
            <w:r w:rsidR="0089318A">
              <w:rPr>
                <w:noProof/>
                <w:webHidden/>
              </w:rPr>
            </w:r>
            <w:r w:rsidR="0089318A">
              <w:rPr>
                <w:noProof/>
                <w:webHidden/>
              </w:rPr>
              <w:fldChar w:fldCharType="separate"/>
            </w:r>
            <w:r w:rsidR="0070108E">
              <w:rPr>
                <w:noProof/>
                <w:webHidden/>
              </w:rPr>
              <w:t>2</w:t>
            </w:r>
            <w:r w:rsidR="0089318A">
              <w:rPr>
                <w:noProof/>
                <w:webHidden/>
              </w:rPr>
              <w:fldChar w:fldCharType="end"/>
            </w:r>
          </w:hyperlink>
        </w:p>
        <w:p w14:paraId="5D07EFDE" w14:textId="386E6F19" w:rsidR="0089318A" w:rsidRDefault="00C4321E" w:rsidP="00F70DA2">
          <w:pPr>
            <w:pStyle w:val="TOC2"/>
            <w:tabs>
              <w:tab w:val="right" w:leader="dot" w:pos="9350"/>
            </w:tabs>
            <w:ind w:left="720"/>
            <w:rPr>
              <w:rFonts w:eastAsiaTheme="minorEastAsia"/>
              <w:noProof/>
            </w:rPr>
          </w:pPr>
          <w:hyperlink w:anchor="_Toc50066691" w:history="1">
            <w:r w:rsidR="0089318A" w:rsidRPr="00166E08">
              <w:rPr>
                <w:rStyle w:val="Hyperlink"/>
                <w:rFonts w:eastAsia="Times New Roman"/>
                <w:noProof/>
              </w:rPr>
              <w:t>Privacy Act Applicability</w:t>
            </w:r>
            <w:r w:rsidR="0089318A">
              <w:rPr>
                <w:noProof/>
                <w:webHidden/>
              </w:rPr>
              <w:tab/>
            </w:r>
            <w:r w:rsidR="0089318A">
              <w:rPr>
                <w:noProof/>
                <w:webHidden/>
              </w:rPr>
              <w:fldChar w:fldCharType="begin"/>
            </w:r>
            <w:r w:rsidR="0089318A">
              <w:rPr>
                <w:noProof/>
                <w:webHidden/>
              </w:rPr>
              <w:instrText xml:space="preserve"> PAGEREF _Toc50066691 \h </w:instrText>
            </w:r>
            <w:r w:rsidR="0089318A">
              <w:rPr>
                <w:noProof/>
                <w:webHidden/>
              </w:rPr>
            </w:r>
            <w:r w:rsidR="0089318A">
              <w:rPr>
                <w:noProof/>
                <w:webHidden/>
              </w:rPr>
              <w:fldChar w:fldCharType="separate"/>
            </w:r>
            <w:r w:rsidR="0070108E">
              <w:rPr>
                <w:noProof/>
                <w:webHidden/>
              </w:rPr>
              <w:t>2</w:t>
            </w:r>
            <w:r w:rsidR="0089318A">
              <w:rPr>
                <w:noProof/>
                <w:webHidden/>
              </w:rPr>
              <w:fldChar w:fldCharType="end"/>
            </w:r>
          </w:hyperlink>
        </w:p>
        <w:p w14:paraId="148A105C" w14:textId="3BFF9EFF" w:rsidR="0089318A" w:rsidRDefault="00C4321E" w:rsidP="00F70DA2">
          <w:pPr>
            <w:pStyle w:val="TOC2"/>
            <w:tabs>
              <w:tab w:val="right" w:leader="dot" w:pos="9350"/>
            </w:tabs>
            <w:ind w:left="720"/>
            <w:rPr>
              <w:rFonts w:eastAsiaTheme="minorEastAsia"/>
              <w:noProof/>
            </w:rPr>
          </w:pPr>
          <w:hyperlink w:anchor="_Toc50066692" w:history="1">
            <w:r w:rsidR="0089318A" w:rsidRPr="00166E08">
              <w:rPr>
                <w:rStyle w:val="Hyperlink"/>
                <w:noProof/>
              </w:rPr>
              <w:t>Data Integrity</w:t>
            </w:r>
            <w:r w:rsidR="0089318A">
              <w:rPr>
                <w:noProof/>
                <w:webHidden/>
              </w:rPr>
              <w:tab/>
            </w:r>
            <w:r w:rsidR="0089318A">
              <w:rPr>
                <w:noProof/>
                <w:webHidden/>
              </w:rPr>
              <w:fldChar w:fldCharType="begin"/>
            </w:r>
            <w:r w:rsidR="0089318A">
              <w:rPr>
                <w:noProof/>
                <w:webHidden/>
              </w:rPr>
              <w:instrText xml:space="preserve"> PAGEREF _Toc50066692 \h </w:instrText>
            </w:r>
            <w:r w:rsidR="0089318A">
              <w:rPr>
                <w:noProof/>
                <w:webHidden/>
              </w:rPr>
            </w:r>
            <w:r w:rsidR="0089318A">
              <w:rPr>
                <w:noProof/>
                <w:webHidden/>
              </w:rPr>
              <w:fldChar w:fldCharType="separate"/>
            </w:r>
            <w:r w:rsidR="0070108E">
              <w:rPr>
                <w:noProof/>
                <w:webHidden/>
              </w:rPr>
              <w:t>2</w:t>
            </w:r>
            <w:r w:rsidR="0089318A">
              <w:rPr>
                <w:noProof/>
                <w:webHidden/>
              </w:rPr>
              <w:fldChar w:fldCharType="end"/>
            </w:r>
          </w:hyperlink>
        </w:p>
        <w:p w14:paraId="0FA264CE" w14:textId="4BF7CFB6" w:rsidR="0089318A" w:rsidRDefault="00C4321E">
          <w:pPr>
            <w:pStyle w:val="TOC1"/>
            <w:tabs>
              <w:tab w:val="left" w:pos="440"/>
              <w:tab w:val="right" w:leader="dot" w:pos="9350"/>
            </w:tabs>
            <w:rPr>
              <w:rFonts w:eastAsiaTheme="minorEastAsia"/>
              <w:noProof/>
            </w:rPr>
          </w:pPr>
          <w:hyperlink w:anchor="_Toc50066693" w:history="1">
            <w:r w:rsidR="0089318A" w:rsidRPr="00166E08">
              <w:rPr>
                <w:rStyle w:val="Hyperlink"/>
                <w:noProof/>
              </w:rPr>
              <w:t>4.</w:t>
            </w:r>
            <w:r w:rsidR="0089318A">
              <w:rPr>
                <w:rFonts w:eastAsiaTheme="minorEastAsia"/>
                <w:noProof/>
              </w:rPr>
              <w:tab/>
            </w:r>
            <w:r w:rsidR="0089318A" w:rsidRPr="00166E08">
              <w:rPr>
                <w:rStyle w:val="Hyperlink"/>
                <w:noProof/>
              </w:rPr>
              <w:t>Secure Upload of Data</w:t>
            </w:r>
            <w:r w:rsidR="0089318A">
              <w:rPr>
                <w:noProof/>
                <w:webHidden/>
              </w:rPr>
              <w:tab/>
            </w:r>
            <w:r w:rsidR="0089318A">
              <w:rPr>
                <w:noProof/>
                <w:webHidden/>
              </w:rPr>
              <w:fldChar w:fldCharType="begin"/>
            </w:r>
            <w:r w:rsidR="0089318A">
              <w:rPr>
                <w:noProof/>
                <w:webHidden/>
              </w:rPr>
              <w:instrText xml:space="preserve"> PAGEREF _Toc50066693 \h </w:instrText>
            </w:r>
            <w:r w:rsidR="0089318A">
              <w:rPr>
                <w:noProof/>
                <w:webHidden/>
              </w:rPr>
            </w:r>
            <w:r w:rsidR="0089318A">
              <w:rPr>
                <w:noProof/>
                <w:webHidden/>
              </w:rPr>
              <w:fldChar w:fldCharType="separate"/>
            </w:r>
            <w:r w:rsidR="0070108E">
              <w:rPr>
                <w:noProof/>
                <w:webHidden/>
              </w:rPr>
              <w:t>2</w:t>
            </w:r>
            <w:r w:rsidR="0089318A">
              <w:rPr>
                <w:noProof/>
                <w:webHidden/>
              </w:rPr>
              <w:fldChar w:fldCharType="end"/>
            </w:r>
          </w:hyperlink>
        </w:p>
        <w:p w14:paraId="6401DBF8" w14:textId="7DC74A92" w:rsidR="0089318A" w:rsidRDefault="00C4321E">
          <w:pPr>
            <w:pStyle w:val="TOC1"/>
            <w:tabs>
              <w:tab w:val="left" w:pos="440"/>
              <w:tab w:val="right" w:leader="dot" w:pos="9350"/>
            </w:tabs>
            <w:rPr>
              <w:rFonts w:eastAsiaTheme="minorEastAsia"/>
              <w:noProof/>
            </w:rPr>
          </w:pPr>
          <w:hyperlink w:anchor="_Toc50066694" w:history="1">
            <w:r w:rsidR="0089318A" w:rsidRPr="00166E08">
              <w:rPr>
                <w:rStyle w:val="Hyperlink"/>
                <w:noProof/>
              </w:rPr>
              <w:t>5.</w:t>
            </w:r>
            <w:r w:rsidR="0089318A">
              <w:rPr>
                <w:rFonts w:eastAsiaTheme="minorEastAsia"/>
                <w:noProof/>
              </w:rPr>
              <w:tab/>
            </w:r>
            <w:r w:rsidR="0089318A" w:rsidRPr="00166E08">
              <w:rPr>
                <w:rStyle w:val="Hyperlink"/>
                <w:noProof/>
              </w:rPr>
              <w:t>CDC Management and Analyses of Shared Data</w:t>
            </w:r>
            <w:r w:rsidR="0089318A">
              <w:rPr>
                <w:noProof/>
                <w:webHidden/>
              </w:rPr>
              <w:tab/>
            </w:r>
            <w:r w:rsidR="0089318A">
              <w:rPr>
                <w:noProof/>
                <w:webHidden/>
              </w:rPr>
              <w:fldChar w:fldCharType="begin"/>
            </w:r>
            <w:r w:rsidR="0089318A">
              <w:rPr>
                <w:noProof/>
                <w:webHidden/>
              </w:rPr>
              <w:instrText xml:space="preserve"> PAGEREF _Toc50066694 \h </w:instrText>
            </w:r>
            <w:r w:rsidR="0089318A">
              <w:rPr>
                <w:noProof/>
                <w:webHidden/>
              </w:rPr>
            </w:r>
            <w:r w:rsidR="0089318A">
              <w:rPr>
                <w:noProof/>
                <w:webHidden/>
              </w:rPr>
              <w:fldChar w:fldCharType="separate"/>
            </w:r>
            <w:r w:rsidR="0070108E">
              <w:rPr>
                <w:noProof/>
                <w:webHidden/>
              </w:rPr>
              <w:t>3</w:t>
            </w:r>
            <w:r w:rsidR="0089318A">
              <w:rPr>
                <w:noProof/>
                <w:webHidden/>
              </w:rPr>
              <w:fldChar w:fldCharType="end"/>
            </w:r>
          </w:hyperlink>
        </w:p>
        <w:p w14:paraId="3660AE95" w14:textId="01C75DDD" w:rsidR="0089318A" w:rsidRDefault="00C4321E">
          <w:pPr>
            <w:pStyle w:val="TOC1"/>
            <w:tabs>
              <w:tab w:val="left" w:pos="440"/>
              <w:tab w:val="right" w:leader="dot" w:pos="9350"/>
            </w:tabs>
            <w:rPr>
              <w:rFonts w:eastAsiaTheme="minorEastAsia"/>
              <w:noProof/>
            </w:rPr>
          </w:pPr>
          <w:hyperlink w:anchor="_Toc50066695" w:history="1">
            <w:r w:rsidR="0089318A" w:rsidRPr="00166E08">
              <w:rPr>
                <w:rStyle w:val="Hyperlink"/>
                <w:noProof/>
              </w:rPr>
              <w:t>6.</w:t>
            </w:r>
            <w:r w:rsidR="0089318A">
              <w:rPr>
                <w:rFonts w:eastAsiaTheme="minorEastAsia"/>
                <w:noProof/>
              </w:rPr>
              <w:tab/>
            </w:r>
            <w:r w:rsidR="0089318A" w:rsidRPr="00166E08">
              <w:rPr>
                <w:rStyle w:val="Hyperlink"/>
                <w:noProof/>
              </w:rPr>
              <w:t>Security and Confidentiality of Shared Data</w:t>
            </w:r>
            <w:r w:rsidR="0089318A">
              <w:rPr>
                <w:noProof/>
                <w:webHidden/>
              </w:rPr>
              <w:tab/>
            </w:r>
            <w:r w:rsidR="0089318A">
              <w:rPr>
                <w:noProof/>
                <w:webHidden/>
              </w:rPr>
              <w:fldChar w:fldCharType="begin"/>
            </w:r>
            <w:r w:rsidR="0089318A">
              <w:rPr>
                <w:noProof/>
                <w:webHidden/>
              </w:rPr>
              <w:instrText xml:space="preserve"> PAGEREF _Toc50066695 \h </w:instrText>
            </w:r>
            <w:r w:rsidR="0089318A">
              <w:rPr>
                <w:noProof/>
                <w:webHidden/>
              </w:rPr>
            </w:r>
            <w:r w:rsidR="0089318A">
              <w:rPr>
                <w:noProof/>
                <w:webHidden/>
              </w:rPr>
              <w:fldChar w:fldCharType="separate"/>
            </w:r>
            <w:r w:rsidR="0070108E">
              <w:rPr>
                <w:noProof/>
                <w:webHidden/>
              </w:rPr>
              <w:t>3</w:t>
            </w:r>
            <w:r w:rsidR="0089318A">
              <w:rPr>
                <w:noProof/>
                <w:webHidden/>
              </w:rPr>
              <w:fldChar w:fldCharType="end"/>
            </w:r>
          </w:hyperlink>
        </w:p>
        <w:p w14:paraId="36165CC7" w14:textId="62416623" w:rsidR="0089318A" w:rsidRDefault="00C4321E">
          <w:pPr>
            <w:pStyle w:val="TOC1"/>
            <w:tabs>
              <w:tab w:val="left" w:pos="440"/>
              <w:tab w:val="right" w:leader="dot" w:pos="9350"/>
            </w:tabs>
            <w:rPr>
              <w:rFonts w:eastAsiaTheme="minorEastAsia"/>
              <w:noProof/>
            </w:rPr>
          </w:pPr>
          <w:hyperlink w:anchor="_Toc50066696" w:history="1">
            <w:r w:rsidR="0089318A" w:rsidRPr="00166E08">
              <w:rPr>
                <w:rStyle w:val="Hyperlink"/>
                <w:noProof/>
              </w:rPr>
              <w:t>7.</w:t>
            </w:r>
            <w:r w:rsidR="0089318A">
              <w:rPr>
                <w:rFonts w:eastAsiaTheme="minorEastAsia"/>
                <w:noProof/>
              </w:rPr>
              <w:tab/>
            </w:r>
            <w:r w:rsidR="0089318A" w:rsidRPr="00166E08">
              <w:rPr>
                <w:rStyle w:val="Hyperlink"/>
                <w:noProof/>
              </w:rPr>
              <w:t>Data Breach Response</w:t>
            </w:r>
            <w:r w:rsidR="0089318A">
              <w:rPr>
                <w:noProof/>
                <w:webHidden/>
              </w:rPr>
              <w:tab/>
            </w:r>
            <w:r w:rsidR="0089318A">
              <w:rPr>
                <w:noProof/>
                <w:webHidden/>
              </w:rPr>
              <w:fldChar w:fldCharType="begin"/>
            </w:r>
            <w:r w:rsidR="0089318A">
              <w:rPr>
                <w:noProof/>
                <w:webHidden/>
              </w:rPr>
              <w:instrText xml:space="preserve"> PAGEREF _Toc50066696 \h </w:instrText>
            </w:r>
            <w:r w:rsidR="0089318A">
              <w:rPr>
                <w:noProof/>
                <w:webHidden/>
              </w:rPr>
            </w:r>
            <w:r w:rsidR="0089318A">
              <w:rPr>
                <w:noProof/>
                <w:webHidden/>
              </w:rPr>
              <w:fldChar w:fldCharType="separate"/>
            </w:r>
            <w:r w:rsidR="0070108E">
              <w:rPr>
                <w:noProof/>
                <w:webHidden/>
              </w:rPr>
              <w:t>4</w:t>
            </w:r>
            <w:r w:rsidR="0089318A">
              <w:rPr>
                <w:noProof/>
                <w:webHidden/>
              </w:rPr>
              <w:fldChar w:fldCharType="end"/>
            </w:r>
          </w:hyperlink>
        </w:p>
        <w:p w14:paraId="12F1FF2F" w14:textId="70BAAF56" w:rsidR="0089318A" w:rsidRDefault="00C4321E">
          <w:pPr>
            <w:pStyle w:val="TOC1"/>
            <w:tabs>
              <w:tab w:val="left" w:pos="440"/>
              <w:tab w:val="right" w:leader="dot" w:pos="9350"/>
            </w:tabs>
            <w:rPr>
              <w:rFonts w:eastAsiaTheme="minorEastAsia"/>
              <w:noProof/>
            </w:rPr>
          </w:pPr>
          <w:hyperlink w:anchor="_Toc50066697" w:history="1">
            <w:r w:rsidR="0089318A" w:rsidRPr="00166E08">
              <w:rPr>
                <w:rStyle w:val="Hyperlink"/>
                <w:noProof/>
              </w:rPr>
              <w:t>8.</w:t>
            </w:r>
            <w:r w:rsidR="0089318A">
              <w:rPr>
                <w:rFonts w:eastAsiaTheme="minorEastAsia"/>
                <w:noProof/>
              </w:rPr>
              <w:tab/>
            </w:r>
            <w:r w:rsidR="0089318A" w:rsidRPr="00166E08">
              <w:rPr>
                <w:rStyle w:val="Hyperlink"/>
                <w:noProof/>
              </w:rPr>
              <w:t>Non-endorsement and Intellectual Property</w:t>
            </w:r>
            <w:r w:rsidR="0089318A">
              <w:rPr>
                <w:noProof/>
                <w:webHidden/>
              </w:rPr>
              <w:tab/>
            </w:r>
            <w:r w:rsidR="0089318A">
              <w:rPr>
                <w:noProof/>
                <w:webHidden/>
              </w:rPr>
              <w:fldChar w:fldCharType="begin"/>
            </w:r>
            <w:r w:rsidR="0089318A">
              <w:rPr>
                <w:noProof/>
                <w:webHidden/>
              </w:rPr>
              <w:instrText xml:space="preserve"> PAGEREF _Toc50066697 \h </w:instrText>
            </w:r>
            <w:r w:rsidR="0089318A">
              <w:rPr>
                <w:noProof/>
                <w:webHidden/>
              </w:rPr>
            </w:r>
            <w:r w:rsidR="0089318A">
              <w:rPr>
                <w:noProof/>
                <w:webHidden/>
              </w:rPr>
              <w:fldChar w:fldCharType="separate"/>
            </w:r>
            <w:r w:rsidR="0070108E">
              <w:rPr>
                <w:noProof/>
                <w:webHidden/>
              </w:rPr>
              <w:t>5</w:t>
            </w:r>
            <w:r w:rsidR="0089318A">
              <w:rPr>
                <w:noProof/>
                <w:webHidden/>
              </w:rPr>
              <w:fldChar w:fldCharType="end"/>
            </w:r>
          </w:hyperlink>
        </w:p>
        <w:p w14:paraId="68D76D16" w14:textId="6FBFD077" w:rsidR="0089318A" w:rsidRDefault="00C4321E">
          <w:pPr>
            <w:pStyle w:val="TOC1"/>
            <w:tabs>
              <w:tab w:val="left" w:pos="440"/>
              <w:tab w:val="right" w:leader="dot" w:pos="9350"/>
            </w:tabs>
            <w:rPr>
              <w:rFonts w:eastAsiaTheme="minorEastAsia"/>
              <w:noProof/>
            </w:rPr>
          </w:pPr>
          <w:hyperlink w:anchor="_Toc50066698" w:history="1">
            <w:r w:rsidR="0089318A" w:rsidRPr="00166E08">
              <w:rPr>
                <w:rStyle w:val="Hyperlink"/>
                <w:noProof/>
                <w:lang w:eastAsia="zh-CN"/>
              </w:rPr>
              <w:t>9.</w:t>
            </w:r>
            <w:r w:rsidR="0089318A">
              <w:rPr>
                <w:rFonts w:eastAsiaTheme="minorEastAsia"/>
                <w:noProof/>
              </w:rPr>
              <w:tab/>
            </w:r>
            <w:r w:rsidR="0089318A" w:rsidRPr="00166E08">
              <w:rPr>
                <w:rStyle w:val="Hyperlink"/>
                <w:noProof/>
              </w:rPr>
              <w:t>Liability</w:t>
            </w:r>
            <w:r w:rsidR="0089318A">
              <w:rPr>
                <w:noProof/>
                <w:webHidden/>
              </w:rPr>
              <w:tab/>
            </w:r>
            <w:r w:rsidR="0089318A">
              <w:rPr>
                <w:noProof/>
                <w:webHidden/>
              </w:rPr>
              <w:fldChar w:fldCharType="begin"/>
            </w:r>
            <w:r w:rsidR="0089318A">
              <w:rPr>
                <w:noProof/>
                <w:webHidden/>
              </w:rPr>
              <w:instrText xml:space="preserve"> PAGEREF _Toc50066698 \h </w:instrText>
            </w:r>
            <w:r w:rsidR="0089318A">
              <w:rPr>
                <w:noProof/>
                <w:webHidden/>
              </w:rPr>
            </w:r>
            <w:r w:rsidR="0089318A">
              <w:rPr>
                <w:noProof/>
                <w:webHidden/>
              </w:rPr>
              <w:fldChar w:fldCharType="separate"/>
            </w:r>
            <w:r w:rsidR="0070108E">
              <w:rPr>
                <w:noProof/>
                <w:webHidden/>
              </w:rPr>
              <w:t>5</w:t>
            </w:r>
            <w:r w:rsidR="0089318A">
              <w:rPr>
                <w:noProof/>
                <w:webHidden/>
              </w:rPr>
              <w:fldChar w:fldCharType="end"/>
            </w:r>
          </w:hyperlink>
        </w:p>
        <w:p w14:paraId="2B80DBFB" w14:textId="5EF811F2" w:rsidR="0089318A" w:rsidRDefault="00C4321E">
          <w:pPr>
            <w:pStyle w:val="TOC1"/>
            <w:tabs>
              <w:tab w:val="left" w:pos="660"/>
              <w:tab w:val="right" w:leader="dot" w:pos="9350"/>
            </w:tabs>
            <w:rPr>
              <w:rFonts w:eastAsiaTheme="minorEastAsia"/>
              <w:noProof/>
            </w:rPr>
          </w:pPr>
          <w:hyperlink w:anchor="_Toc50066699" w:history="1">
            <w:r w:rsidR="0089318A" w:rsidRPr="00166E08">
              <w:rPr>
                <w:rStyle w:val="Hyperlink"/>
                <w:noProof/>
              </w:rPr>
              <w:t>10.</w:t>
            </w:r>
            <w:r w:rsidR="00F70DA2">
              <w:rPr>
                <w:rFonts w:eastAsiaTheme="minorEastAsia"/>
                <w:noProof/>
              </w:rPr>
              <w:t xml:space="preserve">   </w:t>
            </w:r>
            <w:r w:rsidR="0089318A" w:rsidRPr="00166E08">
              <w:rPr>
                <w:rStyle w:val="Hyperlink"/>
                <w:noProof/>
              </w:rPr>
              <w:t>Duration</w:t>
            </w:r>
            <w:r w:rsidR="0089318A">
              <w:rPr>
                <w:noProof/>
                <w:webHidden/>
              </w:rPr>
              <w:tab/>
            </w:r>
            <w:r w:rsidR="0089318A">
              <w:rPr>
                <w:noProof/>
                <w:webHidden/>
              </w:rPr>
              <w:fldChar w:fldCharType="begin"/>
            </w:r>
            <w:r w:rsidR="0089318A">
              <w:rPr>
                <w:noProof/>
                <w:webHidden/>
              </w:rPr>
              <w:instrText xml:space="preserve"> PAGEREF _Toc50066699 \h </w:instrText>
            </w:r>
            <w:r w:rsidR="0089318A">
              <w:rPr>
                <w:noProof/>
                <w:webHidden/>
              </w:rPr>
            </w:r>
            <w:r w:rsidR="0089318A">
              <w:rPr>
                <w:noProof/>
                <w:webHidden/>
              </w:rPr>
              <w:fldChar w:fldCharType="separate"/>
            </w:r>
            <w:r w:rsidR="0070108E">
              <w:rPr>
                <w:noProof/>
                <w:webHidden/>
              </w:rPr>
              <w:t>5</w:t>
            </w:r>
            <w:r w:rsidR="0089318A">
              <w:rPr>
                <w:noProof/>
                <w:webHidden/>
              </w:rPr>
              <w:fldChar w:fldCharType="end"/>
            </w:r>
          </w:hyperlink>
        </w:p>
        <w:p w14:paraId="0983F0BF" w14:textId="4C7044B2" w:rsidR="0089318A" w:rsidRDefault="00C4321E">
          <w:pPr>
            <w:pStyle w:val="TOC1"/>
            <w:tabs>
              <w:tab w:val="left" w:pos="660"/>
              <w:tab w:val="right" w:leader="dot" w:pos="9350"/>
            </w:tabs>
            <w:rPr>
              <w:rFonts w:eastAsiaTheme="minorEastAsia"/>
              <w:noProof/>
            </w:rPr>
          </w:pPr>
          <w:hyperlink w:anchor="_Toc50066700" w:history="1">
            <w:r w:rsidR="0089318A" w:rsidRPr="00166E08">
              <w:rPr>
                <w:rStyle w:val="Hyperlink"/>
                <w:noProof/>
                <w:lang w:eastAsia="zh-CN"/>
              </w:rPr>
              <w:t>11.</w:t>
            </w:r>
            <w:r w:rsidR="00F70DA2">
              <w:rPr>
                <w:rStyle w:val="Hyperlink"/>
                <w:noProof/>
                <w:lang w:eastAsia="zh-CN"/>
              </w:rPr>
              <w:t xml:space="preserve">   </w:t>
            </w:r>
            <w:r w:rsidR="0089318A" w:rsidRPr="00166E08">
              <w:rPr>
                <w:rStyle w:val="Hyperlink"/>
                <w:noProof/>
              </w:rPr>
              <w:t>Resources</w:t>
            </w:r>
            <w:r w:rsidR="0089318A">
              <w:rPr>
                <w:noProof/>
                <w:webHidden/>
              </w:rPr>
              <w:tab/>
            </w:r>
            <w:r w:rsidR="0089318A">
              <w:rPr>
                <w:noProof/>
                <w:webHidden/>
              </w:rPr>
              <w:fldChar w:fldCharType="begin"/>
            </w:r>
            <w:r w:rsidR="0089318A">
              <w:rPr>
                <w:noProof/>
                <w:webHidden/>
              </w:rPr>
              <w:instrText xml:space="preserve"> PAGEREF _Toc50066700 \h </w:instrText>
            </w:r>
            <w:r w:rsidR="0089318A">
              <w:rPr>
                <w:noProof/>
                <w:webHidden/>
              </w:rPr>
            </w:r>
            <w:r w:rsidR="0089318A">
              <w:rPr>
                <w:noProof/>
                <w:webHidden/>
              </w:rPr>
              <w:fldChar w:fldCharType="separate"/>
            </w:r>
            <w:r w:rsidR="0070108E">
              <w:rPr>
                <w:noProof/>
                <w:webHidden/>
              </w:rPr>
              <w:t>5</w:t>
            </w:r>
            <w:r w:rsidR="0089318A">
              <w:rPr>
                <w:noProof/>
                <w:webHidden/>
              </w:rPr>
              <w:fldChar w:fldCharType="end"/>
            </w:r>
          </w:hyperlink>
        </w:p>
        <w:p w14:paraId="25B78A95" w14:textId="360B8283" w:rsidR="0089318A" w:rsidRDefault="00C4321E">
          <w:pPr>
            <w:pStyle w:val="TOC1"/>
            <w:tabs>
              <w:tab w:val="left" w:pos="660"/>
              <w:tab w:val="right" w:leader="dot" w:pos="9350"/>
            </w:tabs>
            <w:rPr>
              <w:rFonts w:eastAsiaTheme="minorEastAsia"/>
              <w:noProof/>
            </w:rPr>
          </w:pPr>
          <w:hyperlink w:anchor="_Toc50066701" w:history="1">
            <w:r w:rsidR="0089318A" w:rsidRPr="00166E08">
              <w:rPr>
                <w:rStyle w:val="Hyperlink"/>
                <w:noProof/>
              </w:rPr>
              <w:t>12.</w:t>
            </w:r>
            <w:r w:rsidR="00F70DA2">
              <w:rPr>
                <w:rStyle w:val="Hyperlink"/>
                <w:noProof/>
              </w:rPr>
              <w:t xml:space="preserve">   </w:t>
            </w:r>
            <w:r w:rsidR="0089318A" w:rsidRPr="00166E08">
              <w:rPr>
                <w:rStyle w:val="Hyperlink"/>
                <w:noProof/>
              </w:rPr>
              <w:t>Signatures</w:t>
            </w:r>
            <w:r w:rsidR="0089318A">
              <w:rPr>
                <w:noProof/>
                <w:webHidden/>
              </w:rPr>
              <w:tab/>
            </w:r>
            <w:r w:rsidR="0089318A">
              <w:rPr>
                <w:noProof/>
                <w:webHidden/>
              </w:rPr>
              <w:fldChar w:fldCharType="begin"/>
            </w:r>
            <w:r w:rsidR="0089318A">
              <w:rPr>
                <w:noProof/>
                <w:webHidden/>
              </w:rPr>
              <w:instrText xml:space="preserve"> PAGEREF _Toc50066701 \h </w:instrText>
            </w:r>
            <w:r w:rsidR="0089318A">
              <w:rPr>
                <w:noProof/>
                <w:webHidden/>
              </w:rPr>
            </w:r>
            <w:r w:rsidR="0089318A">
              <w:rPr>
                <w:noProof/>
                <w:webHidden/>
              </w:rPr>
              <w:fldChar w:fldCharType="separate"/>
            </w:r>
            <w:r w:rsidR="0070108E">
              <w:rPr>
                <w:noProof/>
                <w:webHidden/>
              </w:rPr>
              <w:t>5</w:t>
            </w:r>
            <w:r w:rsidR="0089318A">
              <w:rPr>
                <w:noProof/>
                <w:webHidden/>
              </w:rPr>
              <w:fldChar w:fldCharType="end"/>
            </w:r>
          </w:hyperlink>
        </w:p>
        <w:p w14:paraId="0FF2901C" w14:textId="5F355CEC" w:rsidR="00E1291F" w:rsidRPr="00141B63" w:rsidRDefault="00E1291F">
          <w:pPr>
            <w:rPr>
              <w:b/>
              <w:bCs/>
              <w:noProof/>
            </w:rPr>
          </w:pPr>
          <w:r>
            <w:rPr>
              <w:b/>
              <w:bCs/>
              <w:noProof/>
            </w:rPr>
            <w:fldChar w:fldCharType="end"/>
          </w:r>
        </w:p>
      </w:sdtContent>
    </w:sdt>
    <w:p w14:paraId="54456A48" w14:textId="77777777" w:rsidR="00141B63" w:rsidRDefault="00141B63">
      <w:pPr>
        <w:pStyle w:val="Heading2"/>
        <w:sectPr w:rsidR="00141B63" w:rsidSect="001E4BD9">
          <w:pgSz w:w="12240" w:h="15840"/>
          <w:pgMar w:top="1440" w:right="1440" w:bottom="1440" w:left="1440" w:header="720" w:footer="720" w:gutter="0"/>
          <w:pgNumType w:fmt="lowerRoman" w:start="1"/>
          <w:cols w:space="720"/>
          <w:docGrid w:linePitch="360"/>
        </w:sectPr>
      </w:pPr>
    </w:p>
    <w:p w14:paraId="2B8266F1" w14:textId="15EA3023" w:rsidR="00DF0963" w:rsidRPr="003665BC" w:rsidRDefault="00DF0963" w:rsidP="003665BC">
      <w:pPr>
        <w:pStyle w:val="Heading1"/>
      </w:pPr>
      <w:bookmarkStart w:id="0" w:name="_Toc50066686"/>
      <w:r w:rsidRPr="003665BC">
        <w:lastRenderedPageBreak/>
        <w:t>Purpose</w:t>
      </w:r>
      <w:bookmarkEnd w:id="0"/>
    </w:p>
    <w:p w14:paraId="5225E0FF" w14:textId="5858718E" w:rsidR="00F74A7B" w:rsidRDefault="00DF0963" w:rsidP="009B6EC1">
      <w:r>
        <w:t xml:space="preserve">This document outlines </w:t>
      </w:r>
      <w:r w:rsidR="007C19ED">
        <w:t xml:space="preserve">the terms by which </w:t>
      </w:r>
      <w:r w:rsidR="00743BC1">
        <w:t xml:space="preserve">the </w:t>
      </w:r>
      <w:r>
        <w:t>jurisdiction</w:t>
      </w:r>
      <w:r w:rsidR="00743BC1">
        <w:rPr>
          <w:rStyle w:val="FootnoteReference"/>
        </w:rPr>
        <w:footnoteReference w:id="1"/>
      </w:r>
      <w:r w:rsidR="00540967">
        <w:t xml:space="preserve"> </w:t>
      </w:r>
      <w:r>
        <w:t xml:space="preserve">of </w:t>
      </w:r>
      <w:r w:rsidRPr="00141B63">
        <w:rPr>
          <w:highlight w:val="lightGray"/>
        </w:rPr>
        <w:t>____________</w:t>
      </w:r>
      <w:r w:rsidR="007C19ED">
        <w:t xml:space="preserve"> will </w:t>
      </w:r>
      <w:r w:rsidR="00141B63">
        <w:t>agree to share Maternal Mortality Review Committee (MMRC) data collected</w:t>
      </w:r>
      <w:r w:rsidR="007C19ED">
        <w:t xml:space="preserve"> </w:t>
      </w:r>
      <w:r w:rsidR="00743BC1">
        <w:t xml:space="preserve">(described in Section 4) </w:t>
      </w:r>
      <w:r w:rsidR="001E4BD9">
        <w:t xml:space="preserve">in </w:t>
      </w:r>
      <w:r w:rsidR="00141B63">
        <w:t xml:space="preserve">their instance of </w:t>
      </w:r>
      <w:r w:rsidR="007C19ED">
        <w:t xml:space="preserve">CDC’s Maternal Mortality Review </w:t>
      </w:r>
      <w:r w:rsidR="001E4BD9">
        <w:t>I</w:t>
      </w:r>
      <w:r w:rsidR="00E81B46">
        <w:t>nformation Application (MMRIA</w:t>
      </w:r>
      <w:r w:rsidR="00743BC1">
        <w:t>, or "Maria")</w:t>
      </w:r>
      <w:r w:rsidR="001E4BD9" w:rsidRPr="00743BC1">
        <w:t xml:space="preserve">. </w:t>
      </w:r>
      <w:r w:rsidR="00743BC1" w:rsidRPr="00743BC1">
        <w:t xml:space="preserve"> CDC requests jurisdiction data in order to </w:t>
      </w:r>
      <w:r w:rsidR="009D2D8C">
        <w:t xml:space="preserve">improve data quality, identify technical assistance needs, and </w:t>
      </w:r>
      <w:r w:rsidR="00743BC1" w:rsidRPr="00743BC1">
        <w:t xml:space="preserve">perform detailed </w:t>
      </w:r>
      <w:r w:rsidR="00743BC1">
        <w:t>analyse</w:t>
      </w:r>
      <w:r w:rsidR="00743BC1" w:rsidRPr="00743BC1">
        <w:t>s</w:t>
      </w:r>
      <w:r w:rsidR="007C19ED" w:rsidRPr="00743BC1">
        <w:t xml:space="preserve"> </w:t>
      </w:r>
      <w:r w:rsidR="009D2D8C">
        <w:t xml:space="preserve">across MMRIA users </w:t>
      </w:r>
      <w:r w:rsidR="00CB6696" w:rsidRPr="00CB6696">
        <w:t>regarding deaths that occur during pregnancy or in the year after the end of pregnancy</w:t>
      </w:r>
      <w:r w:rsidRPr="00743BC1">
        <w:t>.</w:t>
      </w:r>
      <w:r w:rsidR="00743BC1">
        <w:t xml:space="preserve">  </w:t>
      </w:r>
    </w:p>
    <w:p w14:paraId="7100FFF5" w14:textId="024F3872" w:rsidR="00B8795E" w:rsidRDefault="00B8795E" w:rsidP="00053231">
      <w:r>
        <w:t xml:space="preserve">A jurisdiction’s </w:t>
      </w:r>
      <w:r w:rsidRPr="00B8795E">
        <w:t xml:space="preserve">MMRIA data is not accessible to CDC staff for analysis purposes unless the jurisdiction specifically grants approval in writing.  </w:t>
      </w:r>
      <w:r w:rsidR="00053231">
        <w:t>The “</w:t>
      </w:r>
      <w:r w:rsidR="00053231" w:rsidRPr="00053231">
        <w:t>Maternal Mortality Review Information Application (MMRIA)</w:t>
      </w:r>
      <w:r w:rsidR="00053231">
        <w:t xml:space="preserve"> Data Sharing Agreement (DSA)” constitutes that written approval and outlines the processes and information technology measures that CDC will employ to ensure protection of </w:t>
      </w:r>
      <w:r w:rsidR="00053231" w:rsidRPr="00743BC1">
        <w:t xml:space="preserve">the confidentiality and security of </w:t>
      </w:r>
      <w:r w:rsidR="00053231">
        <w:t>all shared data</w:t>
      </w:r>
      <w:r w:rsidR="00053231" w:rsidRPr="00743BC1">
        <w:t>.</w:t>
      </w:r>
      <w:r w:rsidR="009D1F89">
        <w:br/>
      </w:r>
    </w:p>
    <w:p w14:paraId="678F2FBA" w14:textId="79B8305D" w:rsidR="00950761" w:rsidRPr="001E4BD9" w:rsidRDefault="001E4BD9" w:rsidP="003665BC">
      <w:pPr>
        <w:pStyle w:val="Heading1"/>
      </w:pPr>
      <w:bookmarkStart w:id="1" w:name="_Toc50066687"/>
      <w:r w:rsidRPr="003665BC">
        <w:t>MMRIA</w:t>
      </w:r>
      <w:r w:rsidR="00E1291F" w:rsidRPr="001E4BD9">
        <w:t xml:space="preserve"> </w:t>
      </w:r>
      <w:r w:rsidR="00E36FA9">
        <w:t xml:space="preserve">System </w:t>
      </w:r>
      <w:r w:rsidR="00950761" w:rsidRPr="001E4BD9">
        <w:t>Overview</w:t>
      </w:r>
      <w:bookmarkEnd w:id="1"/>
    </w:p>
    <w:p w14:paraId="7B26DD31" w14:textId="6BFB0287" w:rsidR="002C1095" w:rsidRDefault="00743BC1" w:rsidP="002C1095">
      <w:r>
        <w:t>MMRIA</w:t>
      </w:r>
      <w:r w:rsidR="00950761" w:rsidRPr="00950761">
        <w:t xml:space="preserve"> is a </w:t>
      </w:r>
      <w:r w:rsidR="00D662E0">
        <w:t xml:space="preserve">consolidated </w:t>
      </w:r>
      <w:r w:rsidR="00950761" w:rsidRPr="00950761">
        <w:t xml:space="preserve">data </w:t>
      </w:r>
      <w:r w:rsidR="00D662E0">
        <w:t xml:space="preserve">management </w:t>
      </w:r>
      <w:r w:rsidR="00950761" w:rsidRPr="00950761">
        <w:t xml:space="preserve">system that enables </w:t>
      </w:r>
      <w:r w:rsidR="00243AA7" w:rsidRPr="00950761">
        <w:t>jurisdiction based</w:t>
      </w:r>
      <w:r w:rsidR="00540967">
        <w:t xml:space="preserve"> </w:t>
      </w:r>
      <w:r>
        <w:t>MMRCs</w:t>
      </w:r>
      <w:r w:rsidR="00950761" w:rsidRPr="00950761">
        <w:t xml:space="preserve"> to collect and analyze data regarding maternal deaths.  </w:t>
      </w:r>
      <w:r w:rsidR="002C1095">
        <w:t>The system facilitate</w:t>
      </w:r>
      <w:r w:rsidR="002B04D4">
        <w:t>s</w:t>
      </w:r>
      <w:r w:rsidR="00FD6A19">
        <w:t xml:space="preserve"> the process of case review.</w:t>
      </w:r>
      <w:r w:rsidR="00436C92">
        <w:t xml:space="preserve">  </w:t>
      </w:r>
    </w:p>
    <w:p w14:paraId="1D008CDA" w14:textId="15A3C6C1" w:rsidR="002C1095" w:rsidRDefault="002C1095" w:rsidP="002C1095">
      <w:r>
        <w:t xml:space="preserve">In order to comprehensively review each case of maternal death, MMRCs must capture detailed medical and social information on each woman who dies during pregnancy or within one year of the end of pregnancy in their jurisdiction.  </w:t>
      </w:r>
      <w:r w:rsidR="00A6182D">
        <w:t>MMRCs employ abstractors within their jurisdictions who</w:t>
      </w:r>
      <w:r>
        <w:t xml:space="preserve"> </w:t>
      </w:r>
      <w:r w:rsidR="00A6182D">
        <w:t xml:space="preserve">collect the pertinent </w:t>
      </w:r>
      <w:r>
        <w:t xml:space="preserve">information </w:t>
      </w:r>
      <w:r w:rsidR="00A6182D">
        <w:t xml:space="preserve">for each case </w:t>
      </w:r>
      <w:r>
        <w:t>by accessing medical rec</w:t>
      </w:r>
      <w:r w:rsidR="00B51A6C">
        <w:t>ords and social service records;</w:t>
      </w:r>
      <w:r>
        <w:t xml:space="preserve"> death certificates</w:t>
      </w:r>
      <w:r w:rsidR="00B51A6C">
        <w:t>;</w:t>
      </w:r>
      <w:r>
        <w:t xml:space="preserve"> birth certificates </w:t>
      </w:r>
      <w:r w:rsidR="00B51A6C">
        <w:t>for the index pregnancy, where applicable;</w:t>
      </w:r>
      <w:r>
        <w:t xml:space="preserve"> and autopsy reports.  </w:t>
      </w:r>
      <w:r w:rsidR="00A6182D">
        <w:t xml:space="preserve">The jurisdiction-based abstractors </w:t>
      </w:r>
      <w:r>
        <w:t xml:space="preserve">then manually enter relevant case details into MMRIA.  The system </w:t>
      </w:r>
      <w:r w:rsidR="00F1580A">
        <w:t>produces</w:t>
      </w:r>
      <w:r>
        <w:t xml:space="preserve"> a semi-automated case narrative that abstractors</w:t>
      </w:r>
      <w:r w:rsidR="00F1580A">
        <w:t xml:space="preserve"> can</w:t>
      </w:r>
      <w:r>
        <w:t xml:space="preserve"> then print and </w:t>
      </w:r>
      <w:r w:rsidR="00F1580A">
        <w:t>present</w:t>
      </w:r>
      <w:r>
        <w:t xml:space="preserve"> to committee members to </w:t>
      </w:r>
      <w:r w:rsidR="00F1580A">
        <w:t>read</w:t>
      </w:r>
      <w:r>
        <w:t xml:space="preserve"> during MMRC meetings, which </w:t>
      </w:r>
      <w:r w:rsidR="009775C4">
        <w:t xml:space="preserve">convene on a </w:t>
      </w:r>
      <w:r w:rsidR="006271FE">
        <w:t>routine</w:t>
      </w:r>
      <w:r w:rsidR="009775C4">
        <w:t xml:space="preserve"> basis as decided by the committee, typically </w:t>
      </w:r>
      <w:r>
        <w:t>monthly or quarterly.  During or shortly after meetings, ab</w:t>
      </w:r>
      <w:r w:rsidR="00F1580A">
        <w:t xml:space="preserve">stractors enter the committee’s </w:t>
      </w:r>
      <w:r>
        <w:t>findings on preventability, contributing factors,</w:t>
      </w:r>
      <w:r w:rsidR="00F1580A">
        <w:t xml:space="preserve"> and recommendations </w:t>
      </w:r>
      <w:r w:rsidR="00567F63">
        <w:t>to prevent future pregnancy-related deaths</w:t>
      </w:r>
      <w:r w:rsidR="00F1580A">
        <w:t xml:space="preserve"> into MMRIA.</w:t>
      </w:r>
    </w:p>
    <w:p w14:paraId="1E998C0E" w14:textId="72C64206" w:rsidR="007B07B8" w:rsidRDefault="007B07B8" w:rsidP="002C1095">
      <w:r>
        <w:t xml:space="preserve">CDC is transitioning MMRIA users from local installations of the application to a centralized environment hosted at CDC.  Each jurisdiction </w:t>
      </w:r>
      <w:r w:rsidR="00B65D66">
        <w:t>has</w:t>
      </w:r>
      <w:r>
        <w:t xml:space="preserve"> access to and maintain</w:t>
      </w:r>
      <w:r w:rsidR="00B65D66">
        <w:t>s</w:t>
      </w:r>
      <w:r>
        <w:t xml:space="preserve"> their own independent installation of MMRIA in the CDC environment.  </w:t>
      </w:r>
      <w:r w:rsidR="00F528F5">
        <w:t>CDC does not have access to a jurisdiction’s data unless it is explicitly shared with CDC.  In rare cases</w:t>
      </w:r>
      <w:r w:rsidR="00F528F5" w:rsidRPr="00F528F5">
        <w:t xml:space="preserve">, software support situations will require access to a jurisdiction’s data.  CDC </w:t>
      </w:r>
      <w:r w:rsidR="00F528F5">
        <w:t xml:space="preserve">practices the principle of least privilege and has </w:t>
      </w:r>
      <w:r w:rsidR="00F528F5" w:rsidRPr="00F528F5">
        <w:t xml:space="preserve">identified </w:t>
      </w:r>
      <w:r w:rsidR="00F528F5">
        <w:t>a limited number of</w:t>
      </w:r>
      <w:r w:rsidR="00F528F5" w:rsidRPr="00F528F5">
        <w:t xml:space="preserve"> individuals who may need to access MMRIA data for software support</w:t>
      </w:r>
      <w:r w:rsidR="00F528F5">
        <w:t>.  A</w:t>
      </w:r>
      <w:r w:rsidR="00F528F5" w:rsidRPr="00F528F5">
        <w:t xml:space="preserve">ccess is </w:t>
      </w:r>
      <w:r w:rsidR="00F528F5">
        <w:t xml:space="preserve">strictly </w:t>
      </w:r>
      <w:r w:rsidR="00F528F5" w:rsidRPr="00F528F5">
        <w:t>limited to those individuals</w:t>
      </w:r>
      <w:r w:rsidR="00F528F5">
        <w:t xml:space="preserve">.  </w:t>
      </w:r>
      <w:r w:rsidR="009D1F89">
        <w:br/>
      </w:r>
    </w:p>
    <w:p w14:paraId="56A91FD6" w14:textId="18D88366" w:rsidR="00BD246C" w:rsidRPr="00112785" w:rsidRDefault="000440DE" w:rsidP="00112785">
      <w:pPr>
        <w:pStyle w:val="Heading1"/>
      </w:pPr>
      <w:bookmarkStart w:id="2" w:name="_Toc50066688"/>
      <w:r w:rsidRPr="00112785">
        <w:lastRenderedPageBreak/>
        <w:t xml:space="preserve">Data </w:t>
      </w:r>
      <w:r w:rsidR="00F97F78" w:rsidRPr="00112785">
        <w:t>Captured in MMRIA</w:t>
      </w:r>
      <w:bookmarkEnd w:id="2"/>
    </w:p>
    <w:p w14:paraId="31372D9C" w14:textId="61467717" w:rsidR="001C7BE0" w:rsidRDefault="001C7BE0" w:rsidP="001C7BE0">
      <w:r w:rsidRPr="00EE29E0">
        <w:t xml:space="preserve">Each </w:t>
      </w:r>
      <w:r w:rsidR="000B7922">
        <w:t xml:space="preserve">case </w:t>
      </w:r>
      <w:r w:rsidRPr="00EE29E0">
        <w:t xml:space="preserve">record may contain </w:t>
      </w:r>
      <w:r w:rsidR="00BE4A3B">
        <w:t>up to</w:t>
      </w:r>
      <w:r w:rsidRPr="00EE29E0">
        <w:t xml:space="preserve"> </w:t>
      </w:r>
      <w:r w:rsidRPr="005C5886">
        <w:t xml:space="preserve">1000 </w:t>
      </w:r>
      <w:r w:rsidRPr="00EE29E0">
        <w:t>data element</w:t>
      </w:r>
      <w:r>
        <w:t>s</w:t>
      </w:r>
      <w:r w:rsidRPr="00EE29E0">
        <w:t xml:space="preserve">. A full list of all data elements collected </w:t>
      </w:r>
      <w:r w:rsidR="006271FE">
        <w:t xml:space="preserve">is currently available at </w:t>
      </w:r>
      <w:r w:rsidR="0016602A" w:rsidRPr="0016602A">
        <w:t xml:space="preserve"> </w:t>
      </w:r>
      <w:hyperlink r:id="rId14" w:history="1">
        <w:r w:rsidR="00DF1221" w:rsidRPr="004919F5">
          <w:rPr>
            <w:rStyle w:val="Hyperlink"/>
          </w:rPr>
          <w:t>https://demo-mmria.cdc.gov/data-dictionary</w:t>
        </w:r>
      </w:hyperlink>
      <w:r w:rsidR="00DF1221">
        <w:t xml:space="preserve"> </w:t>
      </w:r>
      <w:r w:rsidR="00C91CD1">
        <w:t xml:space="preserve"> </w:t>
      </w:r>
      <w:r w:rsidR="00DF1221">
        <w:t xml:space="preserve"> </w:t>
      </w:r>
    </w:p>
    <w:p w14:paraId="2CDD7D7C" w14:textId="78E9BC40" w:rsidR="0081438C" w:rsidRDefault="0081438C" w:rsidP="003665BC">
      <w:pPr>
        <w:pStyle w:val="Heading2"/>
      </w:pPr>
      <w:bookmarkStart w:id="3" w:name="_Toc50066689"/>
      <w:r>
        <w:t>Personally Identifiable Information</w:t>
      </w:r>
      <w:bookmarkEnd w:id="3"/>
    </w:p>
    <w:p w14:paraId="4823C049" w14:textId="1188D66B" w:rsidR="00F97F78" w:rsidRDefault="00CA6828" w:rsidP="00F97F78">
      <w:r>
        <w:t xml:space="preserve">The following </w:t>
      </w:r>
      <w:r w:rsidR="0081438C">
        <w:t>Personally Identifiable Information (PII)</w:t>
      </w:r>
      <w:r>
        <w:t xml:space="preserve"> may be </w:t>
      </w:r>
      <w:r w:rsidR="00926F12">
        <w:t>collected and maintained</w:t>
      </w:r>
      <w:r>
        <w:t xml:space="preserve"> in MMRIA:</w:t>
      </w:r>
    </w:p>
    <w:tbl>
      <w:tblPr>
        <w:tblStyle w:val="TableGrid"/>
        <w:tblW w:w="0" w:type="auto"/>
        <w:tblLook w:val="04A0" w:firstRow="1" w:lastRow="0" w:firstColumn="1" w:lastColumn="0" w:noHBand="0" w:noVBand="1"/>
      </w:tblPr>
      <w:tblGrid>
        <w:gridCol w:w="3304"/>
        <w:gridCol w:w="2835"/>
        <w:gridCol w:w="3211"/>
      </w:tblGrid>
      <w:tr w:rsidR="00AD1E2F" w14:paraId="44BC1B2A" w14:textId="77777777" w:rsidTr="00164181">
        <w:tc>
          <w:tcPr>
            <w:tcW w:w="3304" w:type="dxa"/>
            <w:shd w:val="clear" w:color="auto" w:fill="auto"/>
          </w:tcPr>
          <w:p w14:paraId="1E9479E0" w14:textId="77777777" w:rsidR="00AD1E2F" w:rsidRPr="00164181" w:rsidRDefault="00AD1E2F" w:rsidP="00092363">
            <w:pPr>
              <w:rPr>
                <w:b/>
                <w:bCs/>
              </w:rPr>
            </w:pPr>
            <w:r w:rsidRPr="00164181">
              <w:rPr>
                <w:b/>
                <w:bCs/>
              </w:rPr>
              <w:t xml:space="preserve">Data pertaining to women who died during or within one year of end of pregnancy </w:t>
            </w:r>
          </w:p>
        </w:tc>
        <w:tc>
          <w:tcPr>
            <w:tcW w:w="2835" w:type="dxa"/>
            <w:shd w:val="clear" w:color="auto" w:fill="auto"/>
          </w:tcPr>
          <w:p w14:paraId="3DB7AE5F" w14:textId="7D7B3592" w:rsidR="00AD1E2F" w:rsidRPr="00164181" w:rsidRDefault="00AD1E2F" w:rsidP="00F97F78">
            <w:pPr>
              <w:rPr>
                <w:b/>
                <w:bCs/>
              </w:rPr>
            </w:pPr>
            <w:r w:rsidRPr="00164181">
              <w:rPr>
                <w:b/>
                <w:bCs/>
              </w:rPr>
              <w:t xml:space="preserve">Data pertaining to </w:t>
            </w:r>
            <w:r w:rsidR="00A12919" w:rsidRPr="00164181">
              <w:rPr>
                <w:b/>
                <w:bCs/>
              </w:rPr>
              <w:t xml:space="preserve">healthcare </w:t>
            </w:r>
            <w:r w:rsidRPr="00164181">
              <w:rPr>
                <w:b/>
                <w:bCs/>
              </w:rPr>
              <w:t>facilities</w:t>
            </w:r>
          </w:p>
        </w:tc>
        <w:tc>
          <w:tcPr>
            <w:tcW w:w="3211" w:type="dxa"/>
            <w:shd w:val="clear" w:color="auto" w:fill="auto"/>
          </w:tcPr>
          <w:p w14:paraId="4114598C" w14:textId="15E2ED56" w:rsidR="00AD1E2F" w:rsidRPr="00164181" w:rsidRDefault="00AD1E2F" w:rsidP="00F97F78">
            <w:pPr>
              <w:rPr>
                <w:b/>
                <w:bCs/>
              </w:rPr>
            </w:pPr>
            <w:r w:rsidRPr="00164181">
              <w:rPr>
                <w:b/>
                <w:bCs/>
              </w:rPr>
              <w:t>Data pertaining to MMRIA system users</w:t>
            </w:r>
          </w:p>
        </w:tc>
      </w:tr>
      <w:tr w:rsidR="00AD1E2F" w14:paraId="71221CD5" w14:textId="77777777" w:rsidTr="009B6EC1">
        <w:tc>
          <w:tcPr>
            <w:tcW w:w="3304" w:type="dxa"/>
          </w:tcPr>
          <w:p w14:paraId="7F6AE2C9" w14:textId="77777777" w:rsidR="00AD1E2F" w:rsidRDefault="00AD1E2F" w:rsidP="00C62389">
            <w:r>
              <w:t>Name</w:t>
            </w:r>
          </w:p>
        </w:tc>
        <w:tc>
          <w:tcPr>
            <w:tcW w:w="2835" w:type="dxa"/>
          </w:tcPr>
          <w:p w14:paraId="591CEA4F" w14:textId="21D1EABF" w:rsidR="00AD1E2F" w:rsidRDefault="00AD1E2F" w:rsidP="00F97F78">
            <w:r>
              <w:t>Name</w:t>
            </w:r>
          </w:p>
        </w:tc>
        <w:tc>
          <w:tcPr>
            <w:tcW w:w="3211" w:type="dxa"/>
          </w:tcPr>
          <w:p w14:paraId="428B32A1" w14:textId="78052BB7" w:rsidR="00AD1E2F" w:rsidRDefault="00AD1E2F" w:rsidP="001E4BD9">
            <w:pPr>
              <w:tabs>
                <w:tab w:val="center" w:pos="1497"/>
              </w:tabs>
            </w:pPr>
            <w:r>
              <w:t>Name</w:t>
            </w:r>
          </w:p>
        </w:tc>
      </w:tr>
      <w:tr w:rsidR="00AD1E2F" w14:paraId="4FABFCB4" w14:textId="77777777" w:rsidTr="009B6EC1">
        <w:tc>
          <w:tcPr>
            <w:tcW w:w="3304" w:type="dxa"/>
          </w:tcPr>
          <w:p w14:paraId="44B9091F" w14:textId="77777777" w:rsidR="00AD1E2F" w:rsidRDefault="00AD1E2F" w:rsidP="004638A5">
            <w:r>
              <w:t>Date of Birth</w:t>
            </w:r>
          </w:p>
        </w:tc>
        <w:tc>
          <w:tcPr>
            <w:tcW w:w="2835" w:type="dxa"/>
          </w:tcPr>
          <w:p w14:paraId="06AEA747" w14:textId="794E41CE" w:rsidR="00AD1E2F" w:rsidRDefault="00AD1E2F" w:rsidP="004638A5">
            <w:r>
              <w:t>Address</w:t>
            </w:r>
          </w:p>
        </w:tc>
        <w:tc>
          <w:tcPr>
            <w:tcW w:w="3211" w:type="dxa"/>
          </w:tcPr>
          <w:p w14:paraId="099FB9EA" w14:textId="4555C68B" w:rsidR="00AD1E2F" w:rsidRDefault="00AD1E2F" w:rsidP="004638A5">
            <w:r>
              <w:t>Email address</w:t>
            </w:r>
          </w:p>
        </w:tc>
      </w:tr>
      <w:tr w:rsidR="00AD1E2F" w14:paraId="3E7773BE" w14:textId="77777777" w:rsidTr="009B6EC1">
        <w:tc>
          <w:tcPr>
            <w:tcW w:w="3304" w:type="dxa"/>
          </w:tcPr>
          <w:p w14:paraId="140A7629" w14:textId="77777777" w:rsidR="00AD1E2F" w:rsidRDefault="00AD1E2F" w:rsidP="000968E4">
            <w:r>
              <w:t>Medical Notes</w:t>
            </w:r>
          </w:p>
        </w:tc>
        <w:tc>
          <w:tcPr>
            <w:tcW w:w="2835" w:type="dxa"/>
          </w:tcPr>
          <w:p w14:paraId="34AB2E6F" w14:textId="77777777" w:rsidR="00AD1E2F" w:rsidRDefault="00AD1E2F" w:rsidP="00F97F78"/>
        </w:tc>
        <w:tc>
          <w:tcPr>
            <w:tcW w:w="3211" w:type="dxa"/>
          </w:tcPr>
          <w:p w14:paraId="7063C487" w14:textId="75540E08" w:rsidR="00AD1E2F" w:rsidRDefault="00AD1E2F" w:rsidP="00F97F78"/>
        </w:tc>
      </w:tr>
      <w:tr w:rsidR="00AD1E2F" w14:paraId="3681D5E3" w14:textId="77777777" w:rsidTr="009B6EC1">
        <w:tc>
          <w:tcPr>
            <w:tcW w:w="3304" w:type="dxa"/>
          </w:tcPr>
          <w:p w14:paraId="07A00DE1" w14:textId="77777777" w:rsidR="00AD1E2F" w:rsidRDefault="00AD1E2F" w:rsidP="00C62389">
            <w:r>
              <w:t>Medical Records Numbers</w:t>
            </w:r>
          </w:p>
        </w:tc>
        <w:tc>
          <w:tcPr>
            <w:tcW w:w="2835" w:type="dxa"/>
          </w:tcPr>
          <w:p w14:paraId="63463EA7" w14:textId="77777777" w:rsidR="00AD1E2F" w:rsidRDefault="00AD1E2F" w:rsidP="00F97F78"/>
        </w:tc>
        <w:tc>
          <w:tcPr>
            <w:tcW w:w="3211" w:type="dxa"/>
          </w:tcPr>
          <w:p w14:paraId="224119A7" w14:textId="262136F6" w:rsidR="00AD1E2F" w:rsidRDefault="00AD1E2F" w:rsidP="00F97F78"/>
        </w:tc>
      </w:tr>
      <w:tr w:rsidR="00AD1E2F" w14:paraId="70DE6192" w14:textId="77777777" w:rsidTr="009B6EC1">
        <w:tc>
          <w:tcPr>
            <w:tcW w:w="3304" w:type="dxa"/>
          </w:tcPr>
          <w:p w14:paraId="2DF7447A" w14:textId="77777777" w:rsidR="00AD1E2F" w:rsidRDefault="00AD1E2F" w:rsidP="00C62389">
            <w:r>
              <w:t>Address of Last Known Residence</w:t>
            </w:r>
          </w:p>
        </w:tc>
        <w:tc>
          <w:tcPr>
            <w:tcW w:w="2835" w:type="dxa"/>
          </w:tcPr>
          <w:p w14:paraId="27B61366" w14:textId="77777777" w:rsidR="00AD1E2F" w:rsidRDefault="00AD1E2F" w:rsidP="00F97F78"/>
        </w:tc>
        <w:tc>
          <w:tcPr>
            <w:tcW w:w="3211" w:type="dxa"/>
          </w:tcPr>
          <w:p w14:paraId="020ABC17" w14:textId="18DE6ADB" w:rsidR="00AD1E2F" w:rsidRDefault="00AD1E2F" w:rsidP="00F97F78"/>
        </w:tc>
      </w:tr>
      <w:tr w:rsidR="00AD1E2F" w14:paraId="59C5590E" w14:textId="77777777" w:rsidTr="009B6EC1">
        <w:tc>
          <w:tcPr>
            <w:tcW w:w="3304" w:type="dxa"/>
          </w:tcPr>
          <w:p w14:paraId="1E52061F" w14:textId="77777777" w:rsidR="00AD1E2F" w:rsidRDefault="00AD1E2F" w:rsidP="004638A5">
            <w:r>
              <w:t>Military Status</w:t>
            </w:r>
          </w:p>
        </w:tc>
        <w:tc>
          <w:tcPr>
            <w:tcW w:w="2835" w:type="dxa"/>
          </w:tcPr>
          <w:p w14:paraId="670AF7E6" w14:textId="77777777" w:rsidR="00AD1E2F" w:rsidRDefault="00AD1E2F" w:rsidP="004638A5"/>
        </w:tc>
        <w:tc>
          <w:tcPr>
            <w:tcW w:w="3211" w:type="dxa"/>
          </w:tcPr>
          <w:p w14:paraId="4BC182D7" w14:textId="0F13009B" w:rsidR="00AD1E2F" w:rsidRDefault="00AD1E2F" w:rsidP="004638A5"/>
        </w:tc>
      </w:tr>
      <w:tr w:rsidR="00AD1E2F" w14:paraId="6BFD9AD0" w14:textId="77777777" w:rsidTr="009B6EC1">
        <w:tc>
          <w:tcPr>
            <w:tcW w:w="3304" w:type="dxa"/>
          </w:tcPr>
          <w:p w14:paraId="02F65DF5" w14:textId="77777777" w:rsidR="00AD1E2F" w:rsidRDefault="00AD1E2F" w:rsidP="00C62389">
            <w:r>
              <w:t>Employment Status</w:t>
            </w:r>
          </w:p>
        </w:tc>
        <w:tc>
          <w:tcPr>
            <w:tcW w:w="2835" w:type="dxa"/>
          </w:tcPr>
          <w:p w14:paraId="4C0F7BEE" w14:textId="77777777" w:rsidR="00AD1E2F" w:rsidRDefault="00AD1E2F" w:rsidP="00F97F78"/>
        </w:tc>
        <w:tc>
          <w:tcPr>
            <w:tcW w:w="3211" w:type="dxa"/>
          </w:tcPr>
          <w:p w14:paraId="407F3ABF" w14:textId="2AD5183C" w:rsidR="00AD1E2F" w:rsidRDefault="00AD1E2F" w:rsidP="00F97F78"/>
        </w:tc>
      </w:tr>
      <w:tr w:rsidR="00AD1E2F" w14:paraId="6C294A49" w14:textId="77777777" w:rsidTr="009B6EC1">
        <w:tc>
          <w:tcPr>
            <w:tcW w:w="3304" w:type="dxa"/>
          </w:tcPr>
          <w:p w14:paraId="7B28FDD8" w14:textId="77777777" w:rsidR="00AD1E2F" w:rsidRDefault="00AD1E2F" w:rsidP="000968E4">
            <w:r>
              <w:t xml:space="preserve">Date of Birth of </w:t>
            </w:r>
            <w:r w:rsidRPr="00CA6828">
              <w:t>infant</w:t>
            </w:r>
            <w:r>
              <w:t>(</w:t>
            </w:r>
            <w:r w:rsidRPr="00CA6828">
              <w:t>s</w:t>
            </w:r>
            <w:r>
              <w:t>)</w:t>
            </w:r>
            <w:r w:rsidRPr="00CA6828">
              <w:t xml:space="preserve"> born of the index pregnancy of the deceased woman</w:t>
            </w:r>
          </w:p>
        </w:tc>
        <w:tc>
          <w:tcPr>
            <w:tcW w:w="2835" w:type="dxa"/>
          </w:tcPr>
          <w:p w14:paraId="1A5DE19D" w14:textId="77777777" w:rsidR="00AD1E2F" w:rsidRDefault="00AD1E2F" w:rsidP="00F97F78"/>
        </w:tc>
        <w:tc>
          <w:tcPr>
            <w:tcW w:w="3211" w:type="dxa"/>
          </w:tcPr>
          <w:p w14:paraId="6E9F310A" w14:textId="091233E7" w:rsidR="00AD1E2F" w:rsidRDefault="00AD1E2F" w:rsidP="00F97F78"/>
        </w:tc>
      </w:tr>
    </w:tbl>
    <w:p w14:paraId="0713C3E4" w14:textId="77777777" w:rsidR="00CA6828" w:rsidRDefault="00CA6828" w:rsidP="00F97F78"/>
    <w:p w14:paraId="1C4EAE90" w14:textId="19676A91" w:rsidR="00926F12" w:rsidRDefault="00D662E0" w:rsidP="000968E4">
      <w:r>
        <w:t xml:space="preserve">Jurisdictions can only view data they have entered into MMRIA. </w:t>
      </w:r>
      <w:r w:rsidR="00A965D2">
        <w:t xml:space="preserve">PII </w:t>
      </w:r>
      <w:r w:rsidR="004C7530">
        <w:t xml:space="preserve">can only be </w:t>
      </w:r>
      <w:r w:rsidR="00A965D2">
        <w:t xml:space="preserve">viewed and edited by </w:t>
      </w:r>
      <w:r w:rsidR="00A965D2" w:rsidRPr="00A965D2">
        <w:t xml:space="preserve">a limited set of users assigned </w:t>
      </w:r>
      <w:r w:rsidR="00A965D2">
        <w:t>the Abstractor</w:t>
      </w:r>
      <w:r w:rsidR="00A965D2" w:rsidRPr="00A965D2">
        <w:t xml:space="preserve"> user role</w:t>
      </w:r>
      <w:r w:rsidR="00C64353">
        <w:t xml:space="preserve"> within each Jurisdiction. </w:t>
      </w:r>
      <w:r w:rsidR="00A965D2" w:rsidRPr="00A965D2">
        <w:t xml:space="preserve">PII </w:t>
      </w:r>
      <w:r>
        <w:t xml:space="preserve">in MMRIA </w:t>
      </w:r>
      <w:r w:rsidR="00A965D2" w:rsidRPr="00A965D2">
        <w:t>is necessary for process management</w:t>
      </w:r>
      <w:r w:rsidR="004C7530">
        <w:t xml:space="preserve">; </w:t>
      </w:r>
      <w:r w:rsidR="00FF5967">
        <w:t xml:space="preserve">jurisdiction-based </w:t>
      </w:r>
      <w:r w:rsidR="00A965D2" w:rsidRPr="00A965D2">
        <w:t>abstractors produce a de-identified case narrative of events preceding each woman's death, which is then provided to committee members who review each case.</w:t>
      </w:r>
      <w:r>
        <w:t xml:space="preserve"> </w:t>
      </w:r>
      <w:r w:rsidR="000968E4">
        <w:t xml:space="preserve">Abstractors </w:t>
      </w:r>
      <w:r w:rsidR="00381864">
        <w:t>must</w:t>
      </w:r>
      <w:r w:rsidR="000968E4">
        <w:t xml:space="preserve"> be able to identify individual records</w:t>
      </w:r>
      <w:r w:rsidR="00381864">
        <w:t xml:space="preserve"> by name</w:t>
      </w:r>
      <w:r w:rsidR="000968E4">
        <w:t xml:space="preserve"> in order to </w:t>
      </w:r>
      <w:r w:rsidR="004C7530" w:rsidRPr="00D07204">
        <w:t xml:space="preserve">locate </w:t>
      </w:r>
      <w:r w:rsidR="00323B40" w:rsidRPr="00D07204">
        <w:t xml:space="preserve">records </w:t>
      </w:r>
      <w:r w:rsidR="004C7530" w:rsidRPr="00D07204">
        <w:t xml:space="preserve">and </w:t>
      </w:r>
      <w:r w:rsidR="000968E4" w:rsidRPr="00D07204">
        <w:t xml:space="preserve">enter data accurately.  Abstractors remove all </w:t>
      </w:r>
      <w:r w:rsidR="00BA61A7" w:rsidRPr="00D07204">
        <w:t>PII</w:t>
      </w:r>
      <w:r w:rsidR="000968E4" w:rsidRPr="00D07204">
        <w:t xml:space="preserve"> before presenting a case to the committee.  </w:t>
      </w:r>
      <w:r w:rsidR="00926F12" w:rsidRPr="00D07204">
        <w:t>No PII is shared from MMRIA to any external systems</w:t>
      </w:r>
      <w:r w:rsidR="00AD1795" w:rsidRPr="00D07204">
        <w:t xml:space="preserve"> without written approval from the jurisdiction</w:t>
      </w:r>
      <w:r w:rsidR="00CA6A2B" w:rsidRPr="00D07204">
        <w:t xml:space="preserve"> or unless required by applicable law.</w:t>
      </w:r>
    </w:p>
    <w:p w14:paraId="539A812E" w14:textId="77777777" w:rsidR="00B34E35" w:rsidRDefault="00B34E35" w:rsidP="00B34E35">
      <w:pPr>
        <w:pStyle w:val="Heading2"/>
      </w:pPr>
      <w:bookmarkStart w:id="4" w:name="_Toc50066690"/>
      <w:r>
        <w:t>Data Ownership</w:t>
      </w:r>
      <w:bookmarkEnd w:id="4"/>
    </w:p>
    <w:p w14:paraId="695AA643" w14:textId="77777777" w:rsidR="00B34E35" w:rsidRDefault="00B34E35" w:rsidP="00B34E35">
      <w:r>
        <w:t>The data contained within MMRIA is not owned by CDC.  Each jurisdiction retains ownership of the data they enter into MMRIA.</w:t>
      </w:r>
    </w:p>
    <w:p w14:paraId="118B8EA6" w14:textId="02B90CA4" w:rsidR="00750AA3" w:rsidRDefault="00750AA3" w:rsidP="003665BC">
      <w:pPr>
        <w:pStyle w:val="Heading2"/>
        <w:rPr>
          <w:rFonts w:eastAsia="Times New Roman"/>
        </w:rPr>
      </w:pPr>
      <w:bookmarkStart w:id="5" w:name="_Toc50066691"/>
      <w:r>
        <w:rPr>
          <w:rFonts w:eastAsia="Times New Roman"/>
        </w:rPr>
        <w:t>Privacy Act</w:t>
      </w:r>
      <w:r w:rsidR="001E4BD9">
        <w:rPr>
          <w:rFonts w:eastAsia="Times New Roman"/>
        </w:rPr>
        <w:t xml:space="preserve"> Applicability</w:t>
      </w:r>
      <w:bookmarkEnd w:id="5"/>
    </w:p>
    <w:p w14:paraId="31EC42F5" w14:textId="09C22203" w:rsidR="00E73691" w:rsidRDefault="003A3CB6" w:rsidP="00750AA3">
      <w:r w:rsidRPr="003A3CB6">
        <w:t>No</w:t>
      </w:r>
      <w:r w:rsidR="00B8795E">
        <w:t xml:space="preserve"> Privacy N</w:t>
      </w:r>
      <w:r w:rsidRPr="003A3CB6">
        <w:t xml:space="preserve">otice is required because the Privacy Act does not </w:t>
      </w:r>
      <w:r w:rsidR="00816908">
        <w:t>apply to deceased individuals.</w:t>
      </w:r>
    </w:p>
    <w:p w14:paraId="0A04BA4B" w14:textId="30020E29" w:rsidR="00B8795E" w:rsidRDefault="00B8795E" w:rsidP="00B8795E">
      <w:pPr>
        <w:pStyle w:val="Heading2"/>
      </w:pPr>
      <w:bookmarkStart w:id="6" w:name="_Toc50066692"/>
      <w:r>
        <w:t xml:space="preserve">Data </w:t>
      </w:r>
      <w:r w:rsidR="007B07B8">
        <w:t>Integrity</w:t>
      </w:r>
      <w:bookmarkEnd w:id="6"/>
    </w:p>
    <w:p w14:paraId="7426D5DD" w14:textId="058A6424" w:rsidR="00743BC1" w:rsidRDefault="00B8795E" w:rsidP="00B8795E">
      <w:r>
        <w:t xml:space="preserve">The data contained within MMRIA is not owned by CDC. The jurisdiction is responsible for the integrity of the data </w:t>
      </w:r>
      <w:r w:rsidR="007B07B8">
        <w:t>shared</w:t>
      </w:r>
      <w:r>
        <w:t xml:space="preserve">.  CDC will protect the integrity of all data shared by a jurisdiction.  </w:t>
      </w:r>
      <w:r w:rsidR="009D1F89">
        <w:br/>
      </w:r>
    </w:p>
    <w:p w14:paraId="1FBF8C01" w14:textId="7EF87DD3" w:rsidR="00B65D66" w:rsidRPr="00112785" w:rsidRDefault="00A835CA" w:rsidP="00B65D66">
      <w:pPr>
        <w:pStyle w:val="Heading1"/>
      </w:pPr>
      <w:bookmarkStart w:id="7" w:name="_Toc50066693"/>
      <w:r>
        <w:lastRenderedPageBreak/>
        <w:t xml:space="preserve">Secure Upload of </w:t>
      </w:r>
      <w:r w:rsidR="00B65D66" w:rsidRPr="00112785">
        <w:t>Data</w:t>
      </w:r>
      <w:bookmarkEnd w:id="7"/>
    </w:p>
    <w:p w14:paraId="6E439E6A" w14:textId="53F19D3A" w:rsidR="0044310B" w:rsidRDefault="00B65D66" w:rsidP="00B65D66">
      <w:r w:rsidRPr="0044310B">
        <w:t xml:space="preserve">CDC </w:t>
      </w:r>
      <w:r w:rsidR="007D5AAA">
        <w:t>employs</w:t>
      </w:r>
      <w:r w:rsidR="007D5AAA" w:rsidRPr="0044310B">
        <w:t xml:space="preserve"> </w:t>
      </w:r>
      <w:r w:rsidRPr="0044310B">
        <w:t>Citrix ShareFile</w:t>
      </w:r>
      <w:r w:rsidR="00230D1E">
        <w:rPr>
          <w:rStyle w:val="FootnoteReference"/>
        </w:rPr>
        <w:footnoteReference w:id="2"/>
      </w:r>
      <w:r w:rsidRPr="0044310B">
        <w:t xml:space="preserve"> to provide a secure mechanism for </w:t>
      </w:r>
      <w:r w:rsidR="0044310B" w:rsidRPr="0044310B">
        <w:t>partners</w:t>
      </w:r>
      <w:r w:rsidRPr="0044310B">
        <w:t xml:space="preserve"> to share data with CDC.  CDC ShareFile enables a user to send a file securely </w:t>
      </w:r>
      <w:r w:rsidR="0044310B" w:rsidRPr="0044310B">
        <w:t xml:space="preserve">to be downloaded via a secure hyperlink </w:t>
      </w:r>
      <w:r w:rsidRPr="0044310B">
        <w:t xml:space="preserve">(“Send a File” feature) and to request that another user </w:t>
      </w:r>
      <w:r w:rsidR="0044310B" w:rsidRPr="0044310B">
        <w:t xml:space="preserve">upload a file via a secure hyperlink (“Request a File” feature).  </w:t>
      </w:r>
    </w:p>
    <w:p w14:paraId="18F5B39F" w14:textId="39E4C5AC" w:rsidR="0044310B" w:rsidRPr="00F5616B" w:rsidRDefault="0044310B" w:rsidP="00B65D66">
      <w:pPr>
        <w:rPr>
          <w:color w:val="000000" w:themeColor="text1"/>
        </w:rPr>
      </w:pPr>
      <w:r>
        <w:t xml:space="preserve">When a jurisdiction is ready to share a data file, they should first email or phone a MMRIA team point of contact.  The MMRIA team will then </w:t>
      </w:r>
      <w:r w:rsidR="007D5AAA">
        <w:t xml:space="preserve">use ShareFile to </w:t>
      </w:r>
      <w:r>
        <w:t xml:space="preserve">send a “Request a File” email to the jurisdiction containing a unique hyperlink that the state can click to begin the file upload process to MMRIA’s secure ShareFile space.  For security purposes, each hyperlink will be configured to expire if it </w:t>
      </w:r>
      <w:r w:rsidR="00584A47">
        <w:t>is not used within 48 hours</w:t>
      </w:r>
      <w:r w:rsidR="00584A47" w:rsidRPr="00F5616B">
        <w:rPr>
          <w:color w:val="000000" w:themeColor="text1"/>
        </w:rPr>
        <w:t xml:space="preserve">.  </w:t>
      </w:r>
      <w:r w:rsidR="00F5616B" w:rsidRPr="00F5616B">
        <w:rPr>
          <w:color w:val="000000" w:themeColor="text1"/>
        </w:rPr>
        <w:t xml:space="preserve">ShareFile hyperlinks are randomly generated to provide additional protection.  </w:t>
      </w:r>
    </w:p>
    <w:p w14:paraId="44A5D468" w14:textId="77F38711" w:rsidR="003479AB" w:rsidRPr="00802D35" w:rsidRDefault="00584A47" w:rsidP="003479AB">
      <w:pPr>
        <w:rPr>
          <w:color w:val="000000" w:themeColor="text1"/>
        </w:rPr>
      </w:pPr>
      <w:r w:rsidRPr="00A6271F">
        <w:t xml:space="preserve">ShareFile utilizes Transport Layer Security (TLS) </w:t>
      </w:r>
      <w:r w:rsidR="00802D35">
        <w:t xml:space="preserve">v 1.2 </w:t>
      </w:r>
      <w:r w:rsidRPr="00A6271F">
        <w:t xml:space="preserve">to ensure that </w:t>
      </w:r>
      <w:r w:rsidR="003479AB">
        <w:t>payloads</w:t>
      </w:r>
      <w:r w:rsidRPr="00A6271F">
        <w:t xml:space="preserve"> are protected in transit.  TLS is a cryptographic protocol that </w:t>
      </w:r>
      <w:r w:rsidR="003479AB">
        <w:t>enables</w:t>
      </w:r>
      <w:r w:rsidRPr="00A6271F">
        <w:t xml:space="preserve"> secure communications over the internet.  </w:t>
      </w:r>
      <w:r w:rsidR="009B27E9">
        <w:t xml:space="preserve">Depending on web browser capabilities, </w:t>
      </w:r>
      <w:r w:rsidR="003479AB" w:rsidRPr="003479AB">
        <w:rPr>
          <w:color w:val="000000" w:themeColor="text1"/>
        </w:rPr>
        <w:t>files are encrypted with up to a 256-bit encryption</w:t>
      </w:r>
      <w:r w:rsidR="009B27E9" w:rsidRPr="003479AB">
        <w:rPr>
          <w:color w:val="000000" w:themeColor="text1"/>
        </w:rPr>
        <w:t>.</w:t>
      </w:r>
      <w:r w:rsidR="00802D35">
        <w:rPr>
          <w:color w:val="000000" w:themeColor="text1"/>
        </w:rPr>
        <w:t xml:space="preserve">  </w:t>
      </w:r>
      <w:r w:rsidR="003479AB" w:rsidRPr="00802D35">
        <w:rPr>
          <w:color w:val="000000" w:themeColor="text1"/>
        </w:rPr>
        <w:t xml:space="preserve">Data at rest in ShareFile is encrypted using Advanced Encryption Standard (AES) with a </w:t>
      </w:r>
      <w:r w:rsidR="00243AA7" w:rsidRPr="00802D35">
        <w:rPr>
          <w:color w:val="000000" w:themeColor="text1"/>
        </w:rPr>
        <w:t>256-bit</w:t>
      </w:r>
      <w:r w:rsidR="003479AB" w:rsidRPr="00802D35">
        <w:rPr>
          <w:color w:val="000000" w:themeColor="text1"/>
        </w:rPr>
        <w:t xml:space="preserve"> key.</w:t>
      </w:r>
    </w:p>
    <w:p w14:paraId="0BFAE655" w14:textId="7CE919B8" w:rsidR="00802D35" w:rsidRDefault="00F04B4C" w:rsidP="00802D35">
      <w:r w:rsidRPr="00F04B4C">
        <w:rPr>
          <w:color w:val="000000" w:themeColor="text1"/>
        </w:rPr>
        <w:t xml:space="preserve">Any web browser with access to the internet can be used to upload or download files with </w:t>
      </w:r>
      <w:r w:rsidR="00802D35" w:rsidRPr="00F04B4C">
        <w:rPr>
          <w:color w:val="000000" w:themeColor="text1"/>
        </w:rPr>
        <w:t>ShareFile</w:t>
      </w:r>
      <w:r w:rsidRPr="00F04B4C">
        <w:rPr>
          <w:color w:val="000000" w:themeColor="text1"/>
        </w:rPr>
        <w:t xml:space="preserve">. It is not necessary to configure network ports or install any software. </w:t>
      </w:r>
      <w:r w:rsidR="00802D35" w:rsidRPr="00F04B4C">
        <w:rPr>
          <w:color w:val="000000" w:themeColor="text1"/>
        </w:rPr>
        <w:t xml:space="preserve"> </w:t>
      </w:r>
      <w:r w:rsidR="00CD655A" w:rsidRPr="00F04B4C">
        <w:rPr>
          <w:color w:val="000000" w:themeColor="text1"/>
        </w:rPr>
        <w:t>H</w:t>
      </w:r>
      <w:r w:rsidR="00CD655A">
        <w:t xml:space="preserve">owever, </w:t>
      </w:r>
      <w:r w:rsidR="00243AA7">
        <w:t>officially supported</w:t>
      </w:r>
      <w:r>
        <w:t xml:space="preserve"> browsers include the latest versions of Google Chrome, Microsoft Edge, and Mozilla Firefox.  Microsoft Internet Explorer version 11 or later and Apple Safari version 10 or newer are also supported.  </w:t>
      </w:r>
    </w:p>
    <w:p w14:paraId="34751189" w14:textId="52507DAC" w:rsidR="0044310B" w:rsidRDefault="004435BD" w:rsidP="00B65D66">
      <w:r w:rsidRPr="004435BD">
        <w:t xml:space="preserve">As part of historical and/or periodic vital records data migration, IT support staff on the </w:t>
      </w:r>
      <w:r>
        <w:t xml:space="preserve">CDC </w:t>
      </w:r>
      <w:r w:rsidRPr="004435BD">
        <w:t>MMRIA team will assist jurisdictions in securely transferring data stored in local instances of MMRIA or in vital records files to each jurisdiction’s MMRIA instance on Central Hosting. To upload data, jurisdictions administrators can choose to utilize either CDC ShareFile or the secure jurisdiction folder located on the MMRIA Documentation &amp; Reports Site (</w:t>
      </w:r>
      <w:hyperlink r:id="rId15" w:history="1">
        <w:r w:rsidRPr="007B6DA1">
          <w:rPr>
            <w:rStyle w:val="Hyperlink"/>
          </w:rPr>
          <w:t>https://cdcpartners.sharepoint.com/sites/NCCDPHP/MMRIA</w:t>
        </w:r>
      </w:hyperlink>
      <w:r w:rsidRPr="004435BD">
        <w:t>).</w:t>
      </w:r>
      <w:r>
        <w:t xml:space="preserve"> </w:t>
      </w:r>
      <w:r w:rsidR="00584A47">
        <w:t>If a jurisdiction is unsure how to create a data file for sharing, t</w:t>
      </w:r>
      <w:r w:rsidR="007D5AAA">
        <w:t xml:space="preserve">he CDC MMRIA team can </w:t>
      </w:r>
      <w:proofErr w:type="gramStart"/>
      <w:r w:rsidR="007D5AAA">
        <w:t>provide assistance</w:t>
      </w:r>
      <w:proofErr w:type="gramEnd"/>
      <w:r w:rsidR="007D5AAA">
        <w:t xml:space="preserve"> with steps needed for </w:t>
      </w:r>
      <w:r w:rsidR="00584A47">
        <w:t>creating the file</w:t>
      </w:r>
      <w:r w:rsidR="007D5AAA">
        <w:t xml:space="preserve">.  </w:t>
      </w:r>
      <w:r w:rsidR="009D1F89">
        <w:br/>
      </w:r>
    </w:p>
    <w:p w14:paraId="45A5E8E9" w14:textId="33252E60" w:rsidR="00015F93" w:rsidRPr="00D66970" w:rsidRDefault="009C623C" w:rsidP="00D66970">
      <w:pPr>
        <w:pStyle w:val="Heading1"/>
      </w:pPr>
      <w:bookmarkStart w:id="8" w:name="_Toc50066694"/>
      <w:r w:rsidRPr="00112785">
        <w:t xml:space="preserve">CDC </w:t>
      </w:r>
      <w:r w:rsidR="00B34E35">
        <w:t xml:space="preserve">Management </w:t>
      </w:r>
      <w:r w:rsidR="007E60F3">
        <w:t xml:space="preserve">and Analyses </w:t>
      </w:r>
      <w:r w:rsidR="00B34E35">
        <w:t>of</w:t>
      </w:r>
      <w:r w:rsidRPr="00112785">
        <w:t xml:space="preserve"> </w:t>
      </w:r>
      <w:r w:rsidR="008F16FB">
        <w:t>Shared</w:t>
      </w:r>
      <w:r w:rsidRPr="00112785">
        <w:t xml:space="preserve"> Data</w:t>
      </w:r>
      <w:bookmarkEnd w:id="8"/>
    </w:p>
    <w:p w14:paraId="1EA980A5" w14:textId="2712EBBB" w:rsidR="00F76669" w:rsidRPr="00465098" w:rsidRDefault="009D1F89" w:rsidP="00015F93">
      <w:pPr>
        <w:spacing w:after="0" w:line="240" w:lineRule="auto"/>
        <w:rPr>
          <w:color w:val="000000" w:themeColor="text1"/>
        </w:rPr>
      </w:pPr>
      <w:r w:rsidRPr="00465098">
        <w:rPr>
          <w:color w:val="000000" w:themeColor="text1"/>
        </w:rPr>
        <w:t>Upon execution of this Agreement, CDC shall be permitted to export</w:t>
      </w:r>
      <w:r w:rsidR="00D732DA">
        <w:rPr>
          <w:color w:val="000000" w:themeColor="text1"/>
        </w:rPr>
        <w:t xml:space="preserve"> </w:t>
      </w:r>
      <w:r w:rsidR="002B709C">
        <w:rPr>
          <w:color w:val="000000" w:themeColor="text1"/>
        </w:rPr>
        <w:t xml:space="preserve">the </w:t>
      </w:r>
      <w:r w:rsidR="00D732DA" w:rsidRPr="002B709C">
        <w:t>jurisdictio</w:t>
      </w:r>
      <w:r w:rsidR="002B709C">
        <w:t>n</w:t>
      </w:r>
      <w:r w:rsidR="00D732DA" w:rsidRPr="002B709C">
        <w:t>s</w:t>
      </w:r>
      <w:r w:rsidRPr="002B709C">
        <w:t xml:space="preserve"> </w:t>
      </w:r>
      <w:r w:rsidRPr="00465098">
        <w:rPr>
          <w:color w:val="000000" w:themeColor="text1"/>
        </w:rPr>
        <w:t>data from within the MMRIA system utilizing the standard export de-identification option that contains potential PII information specified in Appendix A, and de-identifies MMRIA fields specified in Appendix B for the specific purposes set out in this Agreement.  Data files are placed in a restricted directory behind CDC’s firewall that is currently only accessible to the minimum number of individuals necessary.  The de-identified data are then placed in another restricted directory behind CDC’s firewall to allow other CDC MMRIA team members and their representatives to perform analysis on the data</w:t>
      </w:r>
      <w:r w:rsidR="00D66970" w:rsidRPr="00465098">
        <w:rPr>
          <w:color w:val="000000" w:themeColor="text1"/>
        </w:rPr>
        <w:t xml:space="preserve">.  </w:t>
      </w:r>
    </w:p>
    <w:p w14:paraId="74D6C3BF" w14:textId="7AC11A3F" w:rsidR="009D2D8C" w:rsidRPr="00465098" w:rsidRDefault="009D2D8C" w:rsidP="00015F93">
      <w:pPr>
        <w:spacing w:after="0" w:line="240" w:lineRule="auto"/>
        <w:rPr>
          <w:color w:val="000000" w:themeColor="text1"/>
        </w:rPr>
      </w:pPr>
    </w:p>
    <w:p w14:paraId="5D18EDE1" w14:textId="3E2A71B0" w:rsidR="009D2D8C" w:rsidRDefault="009D2D8C" w:rsidP="00015F93">
      <w:pPr>
        <w:spacing w:after="0" w:line="240" w:lineRule="auto"/>
        <w:rPr>
          <w:rFonts w:cs="Arial"/>
          <w:color w:val="000000" w:themeColor="text1"/>
        </w:rPr>
      </w:pPr>
      <w:r w:rsidRPr="00465098">
        <w:rPr>
          <w:color w:val="000000" w:themeColor="text1"/>
        </w:rPr>
        <w:t xml:space="preserve">Examples of </w:t>
      </w:r>
      <w:r w:rsidR="006722AE" w:rsidRPr="00465098">
        <w:rPr>
          <w:color w:val="000000" w:themeColor="text1"/>
        </w:rPr>
        <w:t xml:space="preserve">information </w:t>
      </w:r>
      <w:r w:rsidRPr="00465098">
        <w:rPr>
          <w:color w:val="000000" w:themeColor="text1"/>
        </w:rPr>
        <w:t xml:space="preserve">products from these analyses may include presentations used during site visits and at meetings; briefs, reports, and manuscripts of learning from the aggregated data; and trainings for MMRIA users. </w:t>
      </w:r>
      <w:r w:rsidR="000B426E" w:rsidRPr="00465098">
        <w:rPr>
          <w:color w:val="000000" w:themeColor="text1"/>
        </w:rPr>
        <w:t>Data will not be presented that is identifiable to an individual state.</w:t>
      </w:r>
      <w:r w:rsidR="009D1F89" w:rsidRPr="00465098">
        <w:rPr>
          <w:color w:val="000000" w:themeColor="text1"/>
        </w:rPr>
        <w:br/>
      </w:r>
      <w:r w:rsidR="009D1F89">
        <w:rPr>
          <w:rFonts w:cs="Arial"/>
          <w:color w:val="000000" w:themeColor="text1"/>
        </w:rPr>
        <w:br/>
      </w:r>
    </w:p>
    <w:p w14:paraId="4FD183E0" w14:textId="59EC0037" w:rsidR="00E73691" w:rsidRPr="00112785" w:rsidRDefault="00E73691" w:rsidP="00112785">
      <w:pPr>
        <w:pStyle w:val="Heading1"/>
      </w:pPr>
      <w:bookmarkStart w:id="9" w:name="_Toc50066695"/>
      <w:r w:rsidRPr="00112785">
        <w:lastRenderedPageBreak/>
        <w:t>Security and Confidentiality</w:t>
      </w:r>
      <w:r w:rsidR="004F78D8" w:rsidRPr="00112785">
        <w:t xml:space="preserve"> of Shared Data</w:t>
      </w:r>
      <w:bookmarkEnd w:id="9"/>
    </w:p>
    <w:p w14:paraId="2E41A8B5" w14:textId="77777777" w:rsidR="00D66970" w:rsidRDefault="00D66970" w:rsidP="007E2FE5">
      <w:r w:rsidRPr="00D66970">
        <w:t xml:space="preserve">Data will be encrypted in transit and at rest following the National Institute of Standards and Technology’s Federal Information Processing Standard (FIPS 140-2) for Security Requirements for Cryptographic Modules. FIPS 140-2 specifies the security requirements that will be satisfied by a cryptographic module 2 are accepted by the Federal agencies for the protection of sensitive information. </w:t>
      </w:r>
    </w:p>
    <w:p w14:paraId="24EEA4CF" w14:textId="75D4B74D" w:rsidR="009D1F89" w:rsidRPr="00486D86" w:rsidRDefault="00425E3B" w:rsidP="009D1F89">
      <w:pPr>
        <w:rPr>
          <w:rFonts w:cs="Arial"/>
          <w:color w:val="000000" w:themeColor="text1"/>
        </w:rPr>
      </w:pPr>
      <w:r>
        <w:t>To the extent CDC has custody and/or control of the data, CDC will maintain such information as confidential and/or proprietary to the full exten</w:t>
      </w:r>
      <w:r w:rsidR="00DF1221">
        <w:t>t</w:t>
      </w:r>
      <w:r>
        <w:t xml:space="preserve"> allowable under applicable law.</w:t>
      </w:r>
      <w:r w:rsidR="00B8795E">
        <w:t xml:space="preserve"> </w:t>
      </w:r>
      <w:r w:rsidR="00D66970" w:rsidRPr="00D66970">
        <w:rPr>
          <w:rFonts w:cs="Arial"/>
          <w:color w:val="000000" w:themeColor="text1"/>
        </w:rPr>
        <w:t xml:space="preserve">The principle of least privilege will be applied to ensure that only individuals who have an absolute need to access the data will be </w:t>
      </w:r>
      <w:r w:rsidR="00D66970">
        <w:rPr>
          <w:rFonts w:cs="Arial"/>
          <w:color w:val="000000" w:themeColor="text1"/>
        </w:rPr>
        <w:t>granted</w:t>
      </w:r>
      <w:r w:rsidR="00D66970" w:rsidRPr="00D66970">
        <w:rPr>
          <w:rFonts w:cs="Arial"/>
          <w:color w:val="000000" w:themeColor="text1"/>
        </w:rPr>
        <w:t xml:space="preserve"> access.  </w:t>
      </w:r>
      <w:r w:rsidR="009D1F89">
        <w:rPr>
          <w:rFonts w:cs="Arial"/>
          <w:color w:val="000000" w:themeColor="text1"/>
        </w:rPr>
        <w:br/>
      </w:r>
      <w:r w:rsidR="009D1F89">
        <w:rPr>
          <w:rFonts w:cs="Arial"/>
          <w:color w:val="000000" w:themeColor="text1"/>
        </w:rPr>
        <w:br/>
      </w:r>
      <w:r w:rsidR="009D1F89" w:rsidRPr="00486D86">
        <w:rPr>
          <w:rFonts w:cs="Arial"/>
          <w:color w:val="000000" w:themeColor="text1"/>
        </w:rPr>
        <w:t>An internal CDC contractor is “any person or entity employed by CDC” and subcontractors are included in “employed by CDC, an agent, contractor, or business associate….”.</w:t>
      </w:r>
      <w:r w:rsidR="009D1F89">
        <w:rPr>
          <w:rFonts w:cs="Arial"/>
          <w:color w:val="000000" w:themeColor="text1"/>
        </w:rPr>
        <w:t xml:space="preserve">  </w:t>
      </w:r>
      <w:r w:rsidR="009D1F89" w:rsidRPr="00486D86">
        <w:rPr>
          <w:rFonts w:cs="Arial"/>
          <w:color w:val="000000" w:themeColor="text1"/>
        </w:rPr>
        <w:t xml:space="preserve">All aspects for data and system confidentiality and non-disclosure are covered by the </w:t>
      </w:r>
      <w:r w:rsidR="009D1F89" w:rsidRPr="00826FAC">
        <w:rPr>
          <w:rFonts w:cs="Arial"/>
          <w:color w:val="000000" w:themeColor="text1"/>
        </w:rPr>
        <w:t xml:space="preserve">U.S. Department of </w:t>
      </w:r>
      <w:r w:rsidR="009D1F89" w:rsidRPr="00486D86">
        <w:rPr>
          <w:rFonts w:cs="Arial"/>
          <w:color w:val="000000" w:themeColor="text1"/>
        </w:rPr>
        <w:t>Health and Human Services (HHS) mandated annual electronic attestation that CDC staff and internal contractors are required to agree to.</w:t>
      </w:r>
    </w:p>
    <w:p w14:paraId="72355C1C" w14:textId="290D9D31" w:rsidR="009D1F89" w:rsidRPr="00486D86" w:rsidRDefault="00DD5F92" w:rsidP="009D1F89">
      <w:pPr>
        <w:rPr>
          <w:rFonts w:cs="Arial"/>
          <w:color w:val="000000" w:themeColor="text1"/>
        </w:rPr>
      </w:pPr>
      <w:r w:rsidRPr="00486D86">
        <w:rPr>
          <w:rFonts w:cs="Arial"/>
          <w:color w:val="000000" w:themeColor="text1"/>
        </w:rPr>
        <w:t>All CDC staff and internal contractors</w:t>
      </w:r>
      <w:r w:rsidR="009D1F89" w:rsidRPr="00486D86">
        <w:rPr>
          <w:rFonts w:cs="Arial"/>
          <w:color w:val="000000" w:themeColor="text1"/>
        </w:rPr>
        <w:t xml:space="preserve"> are required to annually attest to the “HHS Rules of Behavior (ROB) for the Use of HHS Information and IT Resources Policy”. The HHS ROBs include additional privacy and confidentiality clauses to address protecting data from misuse or disclosure at rest and while in transit. All users are strictly bound by these standard ROB, which covers numerous IT staff who are constantly being transitioned/on</w:t>
      </w:r>
      <w:r w:rsidR="009D1F89">
        <w:rPr>
          <w:rFonts w:cs="Arial"/>
          <w:color w:val="000000" w:themeColor="text1"/>
        </w:rPr>
        <w:t>-</w:t>
      </w:r>
      <w:r w:rsidR="009D1F89" w:rsidRPr="00486D86">
        <w:rPr>
          <w:rFonts w:cs="Arial"/>
          <w:color w:val="000000" w:themeColor="text1"/>
        </w:rPr>
        <w:t>boarded to handle data on multiple projects nationally.</w:t>
      </w:r>
    </w:p>
    <w:p w14:paraId="041B7FE2" w14:textId="1315E673" w:rsidR="009D1F89" w:rsidRPr="00D66970" w:rsidRDefault="009D1F89" w:rsidP="009D1F89">
      <w:pPr>
        <w:rPr>
          <w:rFonts w:cs="Arial"/>
          <w:color w:val="000000" w:themeColor="text1"/>
        </w:rPr>
      </w:pPr>
      <w:r>
        <w:rPr>
          <w:rFonts w:cs="Arial"/>
          <w:color w:val="000000" w:themeColor="text1"/>
        </w:rPr>
        <w:t>A</w:t>
      </w:r>
      <w:r w:rsidRPr="00486D86">
        <w:rPr>
          <w:rFonts w:cs="Arial"/>
          <w:color w:val="000000" w:themeColor="text1"/>
        </w:rPr>
        <w:t>ll CDC system users are also required to review and sign additional stringent confidentiality/non-disclosure rules once a year as part of Annual IT Security Awareness Training. Penalties for violations include dismissal from service, fines, prosecution and/or imprisonment.</w:t>
      </w:r>
      <w:r w:rsidR="00BB7384">
        <w:rPr>
          <w:rFonts w:cs="Arial"/>
          <w:color w:val="000000" w:themeColor="text1"/>
        </w:rPr>
        <w:br/>
      </w:r>
    </w:p>
    <w:p w14:paraId="7F11C467" w14:textId="7948231E" w:rsidR="009B5219" w:rsidRDefault="009B5219" w:rsidP="00B65D66">
      <w:pPr>
        <w:pStyle w:val="Heading1"/>
      </w:pPr>
      <w:bookmarkStart w:id="10" w:name="_Toc50066696"/>
      <w:r w:rsidRPr="00D07204">
        <w:t>Data Breach</w:t>
      </w:r>
      <w:r w:rsidR="00B65D66" w:rsidRPr="00B65D66">
        <w:t xml:space="preserve"> </w:t>
      </w:r>
      <w:r w:rsidR="00B65D66">
        <w:t>Response</w:t>
      </w:r>
      <w:bookmarkEnd w:id="10"/>
    </w:p>
    <w:p w14:paraId="31BE39C3" w14:textId="77777777" w:rsidR="004F78D8" w:rsidRDefault="004F78D8" w:rsidP="00F74A7B">
      <w:pPr>
        <w:keepNext/>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Pr="00985895">
        <w:rPr>
          <w:rFonts w:ascii="Calibri" w:hAnsi="Calibri" w:cs="Calibri"/>
          <w:color w:val="000000"/>
        </w:rPr>
        <w:t xml:space="preserve">Office of Management and Budget (OMB) defines a breach as: </w:t>
      </w:r>
    </w:p>
    <w:p w14:paraId="69BAB76B" w14:textId="77777777" w:rsidR="004F78D8" w:rsidRPr="00985895" w:rsidRDefault="004F78D8" w:rsidP="004F78D8">
      <w:pPr>
        <w:autoSpaceDE w:val="0"/>
        <w:autoSpaceDN w:val="0"/>
        <w:adjustRightInd w:val="0"/>
        <w:spacing w:after="0" w:line="240" w:lineRule="auto"/>
        <w:rPr>
          <w:rFonts w:ascii="Calibri" w:hAnsi="Calibri" w:cs="Calibri"/>
          <w:color w:val="000000"/>
        </w:rPr>
      </w:pPr>
    </w:p>
    <w:p w14:paraId="3B1B6BF2" w14:textId="75EC57D0" w:rsidR="004F78D8" w:rsidRDefault="004F78D8" w:rsidP="004F78D8">
      <w:pPr>
        <w:ind w:left="720"/>
        <w:rPr>
          <w:rFonts w:ascii="Calibri" w:hAnsi="Calibri" w:cs="Calibri"/>
          <w:color w:val="000000"/>
        </w:rPr>
      </w:pPr>
      <w:r w:rsidRPr="00985895">
        <w:rPr>
          <w:rFonts w:ascii="Calibri" w:hAnsi="Calibri" w:cs="Calibri"/>
          <w:color w:val="000000"/>
        </w:rPr>
        <w:t>“</w:t>
      </w:r>
      <w:r>
        <w:rPr>
          <w:rFonts w:ascii="Calibri" w:hAnsi="Calibri" w:cs="Calibri"/>
          <w:color w:val="000000"/>
        </w:rPr>
        <w:t>The</w:t>
      </w:r>
      <w:r w:rsidRPr="00985895">
        <w:rPr>
          <w:rFonts w:ascii="Calibri" w:hAnsi="Calibri" w:cs="Calibri"/>
          <w:color w:val="000000"/>
        </w:rPr>
        <w:t xml:space="preserve"> loss of control, compromise, unauthorized disclosure, unauthorized acquisition, or any </w:t>
      </w:r>
      <w:r>
        <w:t xml:space="preserve">similar occurrence where (1) a person other than an authorized user accesses or potentially accesses personally identifiable information or (2) an authorized user accesses or potentially accesses personally identifiable information for </w:t>
      </w:r>
      <w:r w:rsidR="00CF7AE1">
        <w:t>another</w:t>
      </w:r>
      <w:r>
        <w:t xml:space="preserve"> than authorized purpose</w:t>
      </w:r>
      <w:r w:rsidRPr="00985895">
        <w:rPr>
          <w:rFonts w:ascii="Calibri" w:hAnsi="Calibri" w:cs="Calibri"/>
          <w:color w:val="000000"/>
        </w:rPr>
        <w:t>.”</w:t>
      </w:r>
      <w:r>
        <w:rPr>
          <w:rStyle w:val="FootnoteReference"/>
          <w:rFonts w:ascii="Calibri" w:hAnsi="Calibri" w:cs="Calibri"/>
          <w:color w:val="000000"/>
        </w:rPr>
        <w:footnoteReference w:id="3"/>
      </w:r>
    </w:p>
    <w:p w14:paraId="26090838" w14:textId="50B1CC3B" w:rsidR="004F78D8" w:rsidRDefault="004F78D8" w:rsidP="004F78D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If a breach of MMRIA data is suspected, CDC will </w:t>
      </w:r>
      <w:r w:rsidRPr="009B6EC1">
        <w:t xml:space="preserve">work with the jurisdiction </w:t>
      </w:r>
      <w:r>
        <w:t xml:space="preserve">where the breach occurred </w:t>
      </w:r>
      <w:r w:rsidRPr="009B6EC1">
        <w:t xml:space="preserve">to </w:t>
      </w:r>
      <w:r>
        <w:rPr>
          <w:rFonts w:ascii="Calibri" w:hAnsi="Calibri" w:cs="Calibri"/>
          <w:color w:val="000000"/>
        </w:rPr>
        <w:t xml:space="preserve">conduct an initial assessment to determine the type of data compromised, the number of records impacted, and the potential impact to CDC or the jurisdiction. </w:t>
      </w:r>
    </w:p>
    <w:p w14:paraId="4FF4E446" w14:textId="77777777" w:rsidR="00B65D66" w:rsidRDefault="00B65D66" w:rsidP="004F78D8">
      <w:pPr>
        <w:autoSpaceDE w:val="0"/>
        <w:autoSpaceDN w:val="0"/>
        <w:adjustRightInd w:val="0"/>
        <w:spacing w:after="0" w:line="240" w:lineRule="auto"/>
        <w:rPr>
          <w:rFonts w:ascii="Calibri" w:hAnsi="Calibri" w:cs="Calibri"/>
          <w:color w:val="000000"/>
        </w:rPr>
      </w:pPr>
    </w:p>
    <w:p w14:paraId="1691C6AF" w14:textId="51613C97" w:rsidR="004F78D8" w:rsidRPr="004F00AA" w:rsidRDefault="004F78D8" w:rsidP="004F78D8">
      <w:pPr>
        <w:autoSpaceDE w:val="0"/>
        <w:autoSpaceDN w:val="0"/>
        <w:adjustRightInd w:val="0"/>
        <w:spacing w:after="0" w:line="240" w:lineRule="auto"/>
        <w:rPr>
          <w:rFonts w:ascii="Calibri" w:hAnsi="Calibri" w:cs="Calibri"/>
          <w:color w:val="000000"/>
        </w:rPr>
      </w:pPr>
      <w:r w:rsidRPr="009B6EC1">
        <w:t>If a breach involving PII is discovered, CDC and/or the jurisdiction should be notified as soon as the breach is discovered</w:t>
      </w:r>
      <w:r w:rsidRPr="009B6EC1">
        <w:rPr>
          <w:rFonts w:ascii="Calibri" w:hAnsi="Calibri" w:cs="Calibri"/>
        </w:rPr>
        <w:t>.</w:t>
      </w:r>
      <w:r>
        <w:rPr>
          <w:rFonts w:ascii="Calibri" w:hAnsi="Calibri" w:cs="Calibri"/>
          <w:color w:val="000000"/>
        </w:rPr>
        <w:t xml:space="preserve"> </w:t>
      </w:r>
      <w:r w:rsidRPr="004E0F45">
        <w:rPr>
          <w:rFonts w:ascii="Calibri" w:hAnsi="Calibri" w:cs="Calibri"/>
          <w:color w:val="000000"/>
        </w:rPr>
        <w:t xml:space="preserve"> </w:t>
      </w:r>
      <w:r>
        <w:rPr>
          <w:rFonts w:ascii="Calibri" w:hAnsi="Calibri" w:cs="Calibri"/>
          <w:color w:val="000000"/>
        </w:rPr>
        <w:t xml:space="preserve">Next steps will follow the U.S. Department of Health and Human Services’ (HHS) </w:t>
      </w:r>
      <w:r>
        <w:rPr>
          <w:rFonts w:ascii="Calibri" w:hAnsi="Calibri" w:cs="Calibri"/>
          <w:color w:val="000000"/>
        </w:rPr>
        <w:lastRenderedPageBreak/>
        <w:t>“</w:t>
      </w:r>
      <w:r>
        <w:rPr>
          <w:rFonts w:cs="Helvetica"/>
          <w:color w:val="000000"/>
          <w:lang w:val="en"/>
        </w:rPr>
        <w:t xml:space="preserve">Policy for </w:t>
      </w:r>
      <w:r w:rsidR="00465098">
        <w:rPr>
          <w:rFonts w:cs="Helvetica"/>
          <w:color w:val="000000"/>
          <w:lang w:val="en"/>
        </w:rPr>
        <w:t>Preparing for and Responding to a Breach of Personally Identifiable Information (PII</w:t>
      </w:r>
      <w:proofErr w:type="gramStart"/>
      <w:r w:rsidR="00465098">
        <w:rPr>
          <w:rFonts w:cs="Helvetica"/>
          <w:color w:val="000000"/>
          <w:lang w:val="en"/>
        </w:rPr>
        <w:t>)</w:t>
      </w:r>
      <w:r>
        <w:rPr>
          <w:rFonts w:ascii="Calibri" w:hAnsi="Calibri" w:cs="Calibri"/>
          <w:color w:val="000000"/>
        </w:rPr>
        <w:t>.“</w:t>
      </w:r>
      <w:proofErr w:type="gramEnd"/>
      <w:r>
        <w:rPr>
          <w:rStyle w:val="FootnoteReference"/>
          <w:rFonts w:ascii="Calibri" w:hAnsi="Calibri" w:cs="Calibri"/>
          <w:color w:val="000000"/>
        </w:rPr>
        <w:footnoteReference w:id="4"/>
      </w:r>
      <w:r w:rsidR="00BB7384">
        <w:rPr>
          <w:rFonts w:ascii="Calibri" w:hAnsi="Calibri" w:cs="Calibri"/>
          <w:color w:val="000000"/>
        </w:rPr>
        <w:br/>
      </w:r>
    </w:p>
    <w:p w14:paraId="08E84F26" w14:textId="5DFF4E60" w:rsidR="004E65C2" w:rsidRPr="003331F7" w:rsidRDefault="004E65C2" w:rsidP="003331F7">
      <w:pPr>
        <w:pStyle w:val="Heading1"/>
      </w:pPr>
      <w:bookmarkStart w:id="11" w:name="_Toc50066697"/>
      <w:r w:rsidRPr="003331F7">
        <w:t>Non-endorsement and Intellectual Property</w:t>
      </w:r>
      <w:bookmarkEnd w:id="11"/>
    </w:p>
    <w:p w14:paraId="62D005B4" w14:textId="39A5D622" w:rsidR="004E65C2" w:rsidRPr="009B6EC1" w:rsidRDefault="004E65C2" w:rsidP="0029389A">
      <w:pPr>
        <w:rPr>
          <w:rFonts w:cstheme="minorHAnsi"/>
        </w:rPr>
      </w:pPr>
      <w:r w:rsidRPr="009B6EC1">
        <w:rPr>
          <w:rFonts w:cstheme="minorHAnsi"/>
        </w:rPr>
        <w:t xml:space="preserve">By entering into this </w:t>
      </w:r>
      <w:r w:rsidR="004834B7">
        <w:rPr>
          <w:rFonts w:cstheme="minorHAnsi"/>
        </w:rPr>
        <w:t>DSA</w:t>
      </w:r>
      <w:r w:rsidRPr="009B6EC1">
        <w:rPr>
          <w:rFonts w:cstheme="minorHAnsi"/>
        </w:rPr>
        <w:t xml:space="preserve">, CDC does not directly or indirectly endorse any particular organization, product, or service, whether directly or indirectly related to this </w:t>
      </w:r>
      <w:r w:rsidR="00FD49B5">
        <w:rPr>
          <w:rFonts w:cstheme="minorHAnsi"/>
        </w:rPr>
        <w:t>DSA</w:t>
      </w:r>
      <w:r w:rsidRPr="009B6EC1">
        <w:rPr>
          <w:rFonts w:cstheme="minorHAnsi"/>
        </w:rPr>
        <w:t xml:space="preserve">.  </w:t>
      </w:r>
    </w:p>
    <w:p w14:paraId="7172948F" w14:textId="5D6790F8" w:rsidR="0038107C" w:rsidRDefault="004E65C2" w:rsidP="004E65C2">
      <w:pPr>
        <w:rPr>
          <w:rFonts w:eastAsia="Times New Roman" w:cstheme="minorHAnsi"/>
        </w:rPr>
      </w:pPr>
      <w:r w:rsidRPr="009B6EC1">
        <w:rPr>
          <w:rFonts w:eastAsia="Times New Roman" w:cstheme="minorHAnsi"/>
        </w:rPr>
        <w:t xml:space="preserve">This </w:t>
      </w:r>
      <w:r w:rsidR="00FD49B5">
        <w:rPr>
          <w:rFonts w:eastAsia="Times New Roman" w:cstheme="minorHAnsi"/>
        </w:rPr>
        <w:t>DSA</w:t>
      </w:r>
      <w:r w:rsidRPr="009B6EC1">
        <w:rPr>
          <w:rFonts w:eastAsia="Times New Roman" w:cstheme="minorHAnsi"/>
        </w:rPr>
        <w:t xml:space="preserve"> does </w:t>
      </w:r>
      <w:r w:rsidR="00243AA7" w:rsidRPr="009B6EC1">
        <w:rPr>
          <w:rFonts w:eastAsia="Times New Roman" w:cstheme="minorHAnsi"/>
        </w:rPr>
        <w:t>not and</w:t>
      </w:r>
      <w:r w:rsidRPr="009B6EC1">
        <w:rPr>
          <w:rFonts w:eastAsia="Times New Roman" w:cstheme="minorHAnsi"/>
        </w:rPr>
        <w:t xml:space="preserve"> is not intended to transfer to any of the Parties any rights in any intellectual property of another Party.</w:t>
      </w:r>
    </w:p>
    <w:p w14:paraId="448D0AD8" w14:textId="77777777" w:rsidR="0038107C" w:rsidRPr="00243AA7" w:rsidRDefault="0038107C" w:rsidP="004E65C2">
      <w:pPr>
        <w:rPr>
          <w:rFonts w:eastAsia="Times New Roman" w:cstheme="minorHAnsi"/>
          <w:sz w:val="10"/>
          <w:szCs w:val="10"/>
        </w:rPr>
      </w:pPr>
    </w:p>
    <w:p w14:paraId="15D44670" w14:textId="5A60391B" w:rsidR="004E65C2" w:rsidRPr="009C623C" w:rsidRDefault="004E65C2" w:rsidP="003331F7">
      <w:pPr>
        <w:pStyle w:val="Heading1"/>
        <w:rPr>
          <w:lang w:eastAsia="zh-CN"/>
        </w:rPr>
      </w:pPr>
      <w:bookmarkStart w:id="12" w:name="_Toc50066698"/>
      <w:r w:rsidRPr="003331F7">
        <w:t>Liability</w:t>
      </w:r>
      <w:bookmarkEnd w:id="12"/>
    </w:p>
    <w:p w14:paraId="3D7D0ECD" w14:textId="4E6593F9" w:rsidR="004E65C2" w:rsidRPr="00243AA7" w:rsidRDefault="004E65C2" w:rsidP="009B6EC1">
      <w:pPr>
        <w:rPr>
          <w:sz w:val="14"/>
          <w:szCs w:val="14"/>
        </w:rPr>
      </w:pPr>
      <w:r w:rsidRPr="009B6EC1">
        <w:t>Each Party will be responsible for its own acts and the results thereof and shall not be responsible for the acts of the other Parties and the results thereof.</w:t>
      </w:r>
      <w:r w:rsidR="00BB7384">
        <w:br/>
      </w:r>
    </w:p>
    <w:p w14:paraId="0901E46D" w14:textId="74189B89" w:rsidR="004E65C2" w:rsidRPr="009C623C" w:rsidRDefault="004E65C2" w:rsidP="003331F7">
      <w:pPr>
        <w:pStyle w:val="Heading1"/>
      </w:pPr>
      <w:bookmarkStart w:id="13" w:name="_Toc50066699"/>
      <w:r w:rsidRPr="009C623C">
        <w:t>Duration</w:t>
      </w:r>
      <w:bookmarkEnd w:id="13"/>
    </w:p>
    <w:p w14:paraId="2B55F7E1" w14:textId="36090696" w:rsidR="005714D7" w:rsidRPr="00243AA7" w:rsidRDefault="004E65C2">
      <w:pPr>
        <w:rPr>
          <w:sz w:val="14"/>
          <w:szCs w:val="14"/>
        </w:rPr>
      </w:pPr>
      <w:r w:rsidRPr="004E65C2">
        <w:t xml:space="preserve">This </w:t>
      </w:r>
      <w:r w:rsidR="009C623C">
        <w:t>DSA</w:t>
      </w:r>
      <w:r w:rsidRPr="004E65C2">
        <w:t xml:space="preserve"> is entered into voluntarily by all Parties and may be terminated by any Party with thirty (30) days advance written notice to the other Party. </w:t>
      </w:r>
      <w:r w:rsidR="00AC2A71" w:rsidRPr="00F3088D">
        <w:rPr>
          <w:rFonts w:cstheme="minorHAnsi"/>
        </w:rPr>
        <w:t xml:space="preserve">Should parties terminate, CDC </w:t>
      </w:r>
      <w:r w:rsidR="00AC2A71" w:rsidRPr="00F3088D">
        <w:rPr>
          <w:rFonts w:eastAsia="Times New Roman" w:cstheme="minorHAnsi"/>
        </w:rPr>
        <w:t>shall extend the protections and limitations set forth in the Agreement to the extent permitted by federal law.</w:t>
      </w:r>
      <w:r w:rsidR="00BB7384">
        <w:br/>
      </w:r>
    </w:p>
    <w:p w14:paraId="0F8C37D8" w14:textId="03E09FDA" w:rsidR="004E65C2" w:rsidRPr="009C623C" w:rsidRDefault="004E65C2" w:rsidP="003331F7">
      <w:pPr>
        <w:pStyle w:val="Heading1"/>
        <w:rPr>
          <w:lang w:eastAsia="zh-CN"/>
        </w:rPr>
      </w:pPr>
      <w:bookmarkStart w:id="14" w:name="_Toc50066700"/>
      <w:r w:rsidRPr="003331F7">
        <w:t>Resources</w:t>
      </w:r>
      <w:bookmarkEnd w:id="14"/>
    </w:p>
    <w:p w14:paraId="315CE87F" w14:textId="1D1A8A21" w:rsidR="00DF0963" w:rsidRDefault="004E65C2" w:rsidP="009C623C">
      <w:pPr>
        <w:rPr>
          <w:rFonts w:cstheme="minorHAnsi"/>
          <w:lang w:eastAsia="zh-CN"/>
        </w:rPr>
      </w:pPr>
      <w:r w:rsidRPr="004E65C2">
        <w:rPr>
          <w:rFonts w:cstheme="minorHAnsi"/>
          <w:lang w:eastAsia="zh-CN"/>
        </w:rPr>
        <w:t>CDC’s activities as described herein are subject to the availability of appropriations and government resources.</w:t>
      </w:r>
    </w:p>
    <w:p w14:paraId="1E31DB53" w14:textId="77777777" w:rsidR="002962E5" w:rsidRPr="00243AA7" w:rsidRDefault="002962E5" w:rsidP="009C623C">
      <w:pPr>
        <w:rPr>
          <w:rFonts w:cstheme="minorHAnsi"/>
          <w:sz w:val="12"/>
          <w:szCs w:val="12"/>
          <w:lang w:eastAsia="zh-CN"/>
        </w:rPr>
      </w:pPr>
    </w:p>
    <w:p w14:paraId="0FA367EF" w14:textId="64356FF5" w:rsidR="002962E5" w:rsidRPr="004834B7" w:rsidRDefault="002962E5" w:rsidP="002962E5">
      <w:pPr>
        <w:pStyle w:val="Heading1"/>
      </w:pPr>
      <w:bookmarkStart w:id="15" w:name="_Toc48644887"/>
      <w:bookmarkStart w:id="16" w:name="_Toc50066701"/>
      <w:r w:rsidRPr="004834B7">
        <w:t>Signatures</w:t>
      </w:r>
      <w:bookmarkEnd w:id="15"/>
      <w:bookmarkEnd w:id="16"/>
    </w:p>
    <w:p w14:paraId="0AD7028F" w14:textId="77777777" w:rsidR="002962E5" w:rsidRDefault="002962E5" w:rsidP="002962E5">
      <w:pPr>
        <w:spacing w:after="0" w:line="240" w:lineRule="auto"/>
        <w:ind w:firstLine="720"/>
        <w:rPr>
          <w:rFonts w:cs="Times New Roman"/>
          <w:b/>
        </w:rPr>
      </w:pPr>
    </w:p>
    <w:p w14:paraId="7589ED68" w14:textId="77777777" w:rsidR="002962E5" w:rsidRDefault="002962E5" w:rsidP="002962E5">
      <w:pPr>
        <w:spacing w:after="0" w:line="240" w:lineRule="auto"/>
        <w:rPr>
          <w:rFonts w:cs="Times New Roman"/>
        </w:rPr>
      </w:pPr>
      <w:r>
        <w:rPr>
          <w:rFonts w:cs="Times New Roman"/>
        </w:rPr>
        <w:t>The undersigned concur with this Data Sharing Agreement.</w:t>
      </w:r>
    </w:p>
    <w:p w14:paraId="4765973B" w14:textId="4FF9DAB8" w:rsidR="002962E5" w:rsidRDefault="002962E5" w:rsidP="002962E5">
      <w:pPr>
        <w:spacing w:after="0" w:line="240" w:lineRule="auto"/>
        <w:rPr>
          <w:rFonts w:cs="Times New Roman"/>
        </w:rPr>
      </w:pPr>
    </w:p>
    <w:p w14:paraId="1F98C5E7" w14:textId="77777777" w:rsidR="00547E31" w:rsidRDefault="00547E31" w:rsidP="002962E5">
      <w:pPr>
        <w:spacing w:after="0" w:line="240" w:lineRule="auto"/>
        <w:rPr>
          <w:rFonts w:cs="Times New Roman"/>
        </w:rPr>
      </w:pPr>
    </w:p>
    <w:p w14:paraId="1F67945E" w14:textId="043E876E" w:rsidR="002962E5" w:rsidRDefault="002962E5" w:rsidP="002962E5">
      <w:pPr>
        <w:spacing w:after="0" w:line="240" w:lineRule="auto"/>
        <w:rPr>
          <w:rFonts w:cs="Times New Roman"/>
        </w:rPr>
      </w:pPr>
    </w:p>
    <w:p w14:paraId="1B3223E7" w14:textId="77777777" w:rsidR="005A7455" w:rsidRDefault="005A7455" w:rsidP="005A7455">
      <w:pPr>
        <w:spacing w:after="0" w:line="240" w:lineRule="auto"/>
        <w:ind w:firstLine="720"/>
        <w:rPr>
          <w:rFonts w:cs="Times New Roman"/>
        </w:rPr>
      </w:pPr>
    </w:p>
    <w:p w14:paraId="6D9817FA" w14:textId="77777777" w:rsidR="005A7455" w:rsidRDefault="005A7455" w:rsidP="005A7455">
      <w:pPr>
        <w:spacing w:after="0" w:line="240" w:lineRule="auto"/>
        <w:rPr>
          <w:rFonts w:cs="Times New Roman"/>
        </w:rPr>
      </w:pPr>
      <w:r>
        <w:rPr>
          <w:rFonts w:cs="Times New Roman"/>
        </w:rPr>
        <w:t>____________________________    __________    ____________________________    __________</w:t>
      </w:r>
    </w:p>
    <w:tbl>
      <w:tblPr>
        <w:tblStyle w:val="TableGrid"/>
        <w:tblpPr w:leftFromText="180" w:rightFromText="180" w:vertAnchor="text" w:tblpY="34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260"/>
        <w:gridCol w:w="5310"/>
      </w:tblGrid>
      <w:tr w:rsidR="005A7455" w14:paraId="1F852537" w14:textId="77777777" w:rsidTr="004A78CE">
        <w:tc>
          <w:tcPr>
            <w:tcW w:w="3150" w:type="dxa"/>
          </w:tcPr>
          <w:p w14:paraId="7EDCC176" w14:textId="77777777" w:rsidR="005A7455" w:rsidRPr="00B3593D" w:rsidRDefault="005A7455" w:rsidP="004A78CE">
            <w:pPr>
              <w:rPr>
                <w:rFonts w:cs="Times New Roman"/>
              </w:rPr>
            </w:pPr>
            <w:r w:rsidRPr="00B3593D">
              <w:rPr>
                <w:rFonts w:cs="Times New Roman"/>
              </w:rPr>
              <w:t>[Name and Credentials]</w:t>
            </w:r>
          </w:p>
          <w:p w14:paraId="75F6BE94" w14:textId="77777777" w:rsidR="005A7455" w:rsidRPr="00B3593D" w:rsidRDefault="005A7455" w:rsidP="004A78CE">
            <w:pPr>
              <w:rPr>
                <w:rFonts w:cs="Times New Roman"/>
              </w:rPr>
            </w:pPr>
            <w:r w:rsidRPr="00B3593D">
              <w:rPr>
                <w:rFonts w:cs="Times New Roman"/>
              </w:rPr>
              <w:t>[Title]</w:t>
            </w:r>
          </w:p>
          <w:p w14:paraId="15FA3791" w14:textId="77777777" w:rsidR="005A7455" w:rsidRDefault="005A7455" w:rsidP="004A78CE">
            <w:pPr>
              <w:rPr>
                <w:rFonts w:cs="Times New Roman"/>
              </w:rPr>
            </w:pPr>
            <w:r w:rsidRPr="00B3593D">
              <w:rPr>
                <w:rFonts w:cs="Times New Roman"/>
              </w:rPr>
              <w:t>[Agency/Organization]</w:t>
            </w:r>
          </w:p>
        </w:tc>
        <w:tc>
          <w:tcPr>
            <w:tcW w:w="1260" w:type="dxa"/>
          </w:tcPr>
          <w:p w14:paraId="3B327CA2" w14:textId="77777777" w:rsidR="005A7455" w:rsidRDefault="005A7455" w:rsidP="004A78CE">
            <w:pPr>
              <w:rPr>
                <w:rFonts w:cs="Times New Roman"/>
              </w:rPr>
            </w:pPr>
            <w:r>
              <w:rPr>
                <w:rFonts w:cs="Times New Roman"/>
              </w:rPr>
              <w:t>Date</w:t>
            </w:r>
          </w:p>
        </w:tc>
        <w:tc>
          <w:tcPr>
            <w:tcW w:w="5310" w:type="dxa"/>
          </w:tcPr>
          <w:p w14:paraId="1AE42D38" w14:textId="77777777" w:rsidR="005A7455" w:rsidRDefault="005A7455" w:rsidP="004A78CE">
            <w:pPr>
              <w:rPr>
                <w:rFonts w:cs="Times New Roman"/>
              </w:rPr>
            </w:pPr>
            <w:r>
              <w:rPr>
                <w:rFonts w:cs="Times New Roman"/>
              </w:rPr>
              <w:t>David Goodman, M.S., Ph.D.</w:t>
            </w:r>
            <w:r>
              <w:rPr>
                <w:rFonts w:cs="Times New Roman"/>
              </w:rPr>
              <w:tab/>
              <w:t xml:space="preserve">          Date</w:t>
            </w:r>
          </w:p>
          <w:p w14:paraId="3EA77311" w14:textId="77777777" w:rsidR="005A7455" w:rsidRDefault="005A7455" w:rsidP="004A78CE">
            <w:pPr>
              <w:rPr>
                <w:rFonts w:cs="Times New Roman"/>
              </w:rPr>
            </w:pPr>
            <w:r>
              <w:rPr>
                <w:rFonts w:cs="Times New Roman"/>
              </w:rPr>
              <w:t>Team Lead, Maternal Mortality Team</w:t>
            </w:r>
          </w:p>
          <w:p w14:paraId="38F63615" w14:textId="77777777" w:rsidR="005A7455" w:rsidRDefault="005A7455" w:rsidP="004A78CE">
            <w:pPr>
              <w:rPr>
                <w:rFonts w:cs="Times New Roman"/>
              </w:rPr>
            </w:pPr>
            <w:r>
              <w:rPr>
                <w:rFonts w:cs="Times New Roman"/>
              </w:rPr>
              <w:t>Division of Reproductive Health</w:t>
            </w:r>
          </w:p>
          <w:p w14:paraId="5885947A" w14:textId="77777777" w:rsidR="005A7455" w:rsidRDefault="005A7455" w:rsidP="004A78CE">
            <w:pPr>
              <w:rPr>
                <w:rFonts w:cs="Times New Roman"/>
              </w:rPr>
            </w:pPr>
            <w:r>
              <w:rPr>
                <w:rFonts w:cs="Times New Roman"/>
              </w:rPr>
              <w:t xml:space="preserve">Centers for Disease Control and </w:t>
            </w:r>
          </w:p>
          <w:p w14:paraId="179DE5CA" w14:textId="77777777" w:rsidR="005A7455" w:rsidRDefault="005A7455" w:rsidP="004A78CE">
            <w:pPr>
              <w:rPr>
                <w:rFonts w:cs="Times New Roman"/>
              </w:rPr>
            </w:pPr>
            <w:r>
              <w:rPr>
                <w:rFonts w:cs="Times New Roman"/>
              </w:rPr>
              <w:t>Prevention</w:t>
            </w:r>
          </w:p>
        </w:tc>
      </w:tr>
    </w:tbl>
    <w:p w14:paraId="2737ABF0" w14:textId="5C9EF53B" w:rsidR="005F16CC" w:rsidRPr="007E1972" w:rsidRDefault="005F16CC" w:rsidP="00B3593D">
      <w:pPr>
        <w:spacing w:after="0"/>
      </w:pPr>
    </w:p>
    <w:sectPr w:rsidR="005F16CC" w:rsidRPr="007E1972" w:rsidSect="004834B7">
      <w:footerReference w:type="default" r:id="rId16"/>
      <w:headerReference w:type="first" r:id="rId17"/>
      <w:footerReference w:type="first" r:id="rId18"/>
      <w:pgSz w:w="12240" w:h="15840"/>
      <w:pgMar w:top="1440" w:right="1440" w:bottom="1440" w:left="1440" w:header="720" w:footer="51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A7E8" w14:textId="77777777" w:rsidR="00465098" w:rsidRDefault="00465098" w:rsidP="00C30A73">
      <w:pPr>
        <w:spacing w:after="0" w:line="240" w:lineRule="auto"/>
      </w:pPr>
      <w:r>
        <w:separator/>
      </w:r>
    </w:p>
  </w:endnote>
  <w:endnote w:type="continuationSeparator" w:id="0">
    <w:p w14:paraId="7FDF1912" w14:textId="77777777" w:rsidR="00465098" w:rsidRDefault="00465098" w:rsidP="00C3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0697" w14:textId="223C5B6B" w:rsidR="00465098" w:rsidRDefault="00465098" w:rsidP="004834B7">
    <w:pPr>
      <w:pStyle w:val="Footer"/>
      <w:tabs>
        <w:tab w:val="left" w:pos="7128"/>
      </w:tabs>
    </w:pP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sidRPr="001E4BD9">
      <w:rPr>
        <w:color w:val="8496B0" w:themeColor="text2" w:themeTint="99"/>
        <w:spacing w:val="60"/>
        <w:sz w:val="20"/>
        <w:szCs w:val="20"/>
      </w:rPr>
      <w:t>Page</w:t>
    </w:r>
    <w:r w:rsidRPr="001E4BD9">
      <w:rPr>
        <w:color w:val="8496B0" w:themeColor="text2" w:themeTint="99"/>
        <w:sz w:val="20"/>
        <w:szCs w:val="20"/>
      </w:rPr>
      <w:t xml:space="preserve"> </w:t>
    </w:r>
    <w:r>
      <w:rPr>
        <w:color w:val="323E4F" w:themeColor="text2" w:themeShade="BF"/>
        <w:sz w:val="20"/>
        <w:szCs w:val="20"/>
      </w:rPr>
      <w:fldChar w:fldCharType="begin"/>
    </w:r>
    <w:r>
      <w:rPr>
        <w:color w:val="323E4F" w:themeColor="text2" w:themeShade="BF"/>
        <w:sz w:val="20"/>
        <w:szCs w:val="20"/>
      </w:rPr>
      <w:instrText xml:space="preserve"> PAGE  \* roman  \* MERGEFORMAT </w:instrText>
    </w:r>
    <w:r>
      <w:rPr>
        <w:color w:val="323E4F" w:themeColor="text2" w:themeShade="BF"/>
        <w:sz w:val="20"/>
        <w:szCs w:val="20"/>
      </w:rPr>
      <w:fldChar w:fldCharType="separate"/>
    </w:r>
    <w:r>
      <w:rPr>
        <w:noProof/>
        <w:color w:val="323E4F" w:themeColor="text2" w:themeShade="BF"/>
        <w:sz w:val="20"/>
        <w:szCs w:val="20"/>
      </w:rPr>
      <w:t>i</w:t>
    </w:r>
    <w:r>
      <w:rPr>
        <w:color w:val="323E4F" w:themeColor="text2" w:themeShade="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F0A5" w14:textId="7C7DD3E2" w:rsidR="00465098" w:rsidRDefault="00465098" w:rsidP="004834B7">
    <w:pPr>
      <w:pStyle w:val="Footer"/>
      <w:tabs>
        <w:tab w:val="left" w:pos="7128"/>
        <w:tab w:val="left" w:pos="7464"/>
      </w:tabs>
    </w:pP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Pr>
        <w:color w:val="8496B0" w:themeColor="text2" w:themeTint="99"/>
        <w:spacing w:val="60"/>
        <w:sz w:val="20"/>
        <w:szCs w:val="20"/>
      </w:rPr>
      <w:tab/>
    </w:r>
    <w:r w:rsidRPr="001E4BD9">
      <w:rPr>
        <w:color w:val="8496B0" w:themeColor="text2" w:themeTint="99"/>
        <w:spacing w:val="60"/>
        <w:sz w:val="20"/>
        <w:szCs w:val="20"/>
      </w:rPr>
      <w:t>Page</w:t>
    </w:r>
    <w:r w:rsidRPr="001E4BD9">
      <w:rPr>
        <w:color w:val="8496B0" w:themeColor="text2" w:themeTint="99"/>
        <w:sz w:val="20"/>
        <w:szCs w:val="20"/>
      </w:rPr>
      <w:t xml:space="preserve"> </w:t>
    </w:r>
    <w:r>
      <w:rPr>
        <w:color w:val="323E4F" w:themeColor="text2" w:themeShade="BF"/>
        <w:sz w:val="20"/>
        <w:szCs w:val="20"/>
      </w:rPr>
      <w:fldChar w:fldCharType="begin"/>
    </w:r>
    <w:r>
      <w:rPr>
        <w:color w:val="323E4F" w:themeColor="text2" w:themeShade="BF"/>
        <w:sz w:val="20"/>
        <w:szCs w:val="20"/>
      </w:rPr>
      <w:instrText xml:space="preserve"> PAGE   \* MERGEFORMAT </w:instrText>
    </w:r>
    <w:r>
      <w:rPr>
        <w:color w:val="323E4F" w:themeColor="text2" w:themeShade="BF"/>
        <w:sz w:val="20"/>
        <w:szCs w:val="20"/>
      </w:rPr>
      <w:fldChar w:fldCharType="separate"/>
    </w:r>
    <w:r>
      <w:rPr>
        <w:noProof/>
        <w:color w:val="323E4F" w:themeColor="text2" w:themeShade="BF"/>
        <w:sz w:val="20"/>
        <w:szCs w:val="20"/>
      </w:rPr>
      <w:t>3</w:t>
    </w:r>
    <w:r>
      <w:rPr>
        <w:color w:val="323E4F" w:themeColor="text2" w:themeShade="BF"/>
        <w:sz w:val="20"/>
        <w:szCs w:val="20"/>
      </w:rPr>
      <w:fldChar w:fldCharType="end"/>
    </w:r>
    <w:r>
      <w:rPr>
        <w:color w:val="323E4F" w:themeColor="text2" w:themeShade="BF"/>
        <w:sz w:val="20"/>
        <w:szCs w:val="20"/>
      </w:rPr>
      <w:t xml:space="preserve"> of </w:t>
    </w:r>
    <w:r>
      <w:rPr>
        <w:color w:val="323E4F" w:themeColor="text2" w:themeShade="BF"/>
        <w:sz w:val="20"/>
        <w:szCs w:val="20"/>
      </w:rPr>
      <w:fldChar w:fldCharType="begin"/>
    </w:r>
    <w:r>
      <w:rPr>
        <w:color w:val="323E4F" w:themeColor="text2" w:themeShade="BF"/>
        <w:sz w:val="20"/>
        <w:szCs w:val="20"/>
      </w:rPr>
      <w:instrText xml:space="preserve"> SECTIONPAGES  \* Arabic  \* MERGEFORMAT </w:instrText>
    </w:r>
    <w:r>
      <w:rPr>
        <w:color w:val="323E4F" w:themeColor="text2" w:themeShade="BF"/>
        <w:sz w:val="20"/>
        <w:szCs w:val="20"/>
      </w:rPr>
      <w:fldChar w:fldCharType="separate"/>
    </w:r>
    <w:r w:rsidR="00C4321E">
      <w:rPr>
        <w:noProof/>
        <w:color w:val="323E4F" w:themeColor="text2" w:themeShade="BF"/>
        <w:sz w:val="20"/>
        <w:szCs w:val="20"/>
      </w:rPr>
      <w:t>5</w:t>
    </w:r>
    <w:r>
      <w:rPr>
        <w:color w:val="323E4F" w:themeColor="text2"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E765" w14:textId="2484CE16" w:rsidR="00465098" w:rsidRPr="001E4BD9" w:rsidRDefault="00465098" w:rsidP="001E4BD9">
    <w:pPr>
      <w:tabs>
        <w:tab w:val="center" w:pos="4550"/>
        <w:tab w:val="left" w:pos="5818"/>
      </w:tabs>
      <w:ind w:right="260"/>
      <w:jc w:val="right"/>
      <w:rPr>
        <w:color w:val="222A35" w:themeColor="text2" w:themeShade="80"/>
        <w:sz w:val="20"/>
        <w:szCs w:val="20"/>
      </w:rPr>
    </w:pPr>
    <w:r w:rsidRPr="001E4BD9">
      <w:rPr>
        <w:color w:val="8496B0" w:themeColor="text2" w:themeTint="99"/>
        <w:spacing w:val="60"/>
        <w:sz w:val="20"/>
        <w:szCs w:val="20"/>
      </w:rPr>
      <w:t>Page</w:t>
    </w:r>
    <w:r w:rsidRPr="001E4BD9">
      <w:rPr>
        <w:color w:val="8496B0" w:themeColor="text2" w:themeTint="99"/>
        <w:sz w:val="20"/>
        <w:szCs w:val="20"/>
      </w:rPr>
      <w:t xml:space="preserve"> </w:t>
    </w:r>
    <w:r w:rsidRPr="001E4BD9">
      <w:rPr>
        <w:color w:val="323E4F" w:themeColor="text2" w:themeShade="BF"/>
        <w:sz w:val="20"/>
        <w:szCs w:val="20"/>
      </w:rPr>
      <w:fldChar w:fldCharType="begin"/>
    </w:r>
    <w:r w:rsidRPr="001E4BD9">
      <w:rPr>
        <w:color w:val="323E4F" w:themeColor="text2" w:themeShade="BF"/>
        <w:sz w:val="20"/>
        <w:szCs w:val="20"/>
      </w:rPr>
      <w:instrText xml:space="preserve"> PAGE  \* Arabic  \* MERGEFORMAT </w:instrText>
    </w:r>
    <w:r w:rsidRPr="001E4BD9">
      <w:rPr>
        <w:color w:val="323E4F" w:themeColor="text2" w:themeShade="BF"/>
        <w:sz w:val="20"/>
        <w:szCs w:val="20"/>
      </w:rPr>
      <w:fldChar w:fldCharType="separate"/>
    </w:r>
    <w:r>
      <w:rPr>
        <w:noProof/>
        <w:color w:val="323E4F" w:themeColor="text2" w:themeShade="BF"/>
        <w:sz w:val="20"/>
        <w:szCs w:val="20"/>
      </w:rPr>
      <w:t>1</w:t>
    </w:r>
    <w:r w:rsidRPr="001E4BD9">
      <w:rPr>
        <w:color w:val="323E4F" w:themeColor="text2" w:themeShade="BF"/>
        <w:sz w:val="20"/>
        <w:szCs w:val="20"/>
      </w:rPr>
      <w:fldChar w:fldCharType="end"/>
    </w:r>
    <w:r w:rsidRPr="001E4BD9">
      <w:rPr>
        <w:color w:val="323E4F" w:themeColor="text2" w:themeShade="BF"/>
        <w:sz w:val="20"/>
        <w:szCs w:val="20"/>
      </w:rPr>
      <w:t xml:space="preserve"> of </w:t>
    </w:r>
    <w:r>
      <w:rPr>
        <w:color w:val="323E4F" w:themeColor="text2" w:themeShade="BF"/>
        <w:sz w:val="20"/>
        <w:szCs w:val="20"/>
      </w:rPr>
      <w:fldChar w:fldCharType="begin"/>
    </w:r>
    <w:r>
      <w:rPr>
        <w:color w:val="323E4F" w:themeColor="text2" w:themeShade="BF"/>
        <w:sz w:val="20"/>
        <w:szCs w:val="20"/>
      </w:rPr>
      <w:instrText xml:space="preserve"> SECTIONPAGES   \* MERGEFORMAT </w:instrText>
    </w:r>
    <w:r>
      <w:rPr>
        <w:color w:val="323E4F" w:themeColor="text2" w:themeShade="BF"/>
        <w:sz w:val="20"/>
        <w:szCs w:val="20"/>
      </w:rPr>
      <w:fldChar w:fldCharType="separate"/>
    </w:r>
    <w:r>
      <w:rPr>
        <w:noProof/>
        <w:color w:val="323E4F" w:themeColor="text2" w:themeShade="BF"/>
        <w:sz w:val="20"/>
        <w:szCs w:val="20"/>
      </w:rPr>
      <w:t>4</w:t>
    </w:r>
    <w:r>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7387" w14:textId="77777777" w:rsidR="00465098" w:rsidRDefault="00465098" w:rsidP="00C30A73">
      <w:pPr>
        <w:spacing w:after="0" w:line="240" w:lineRule="auto"/>
      </w:pPr>
      <w:r>
        <w:separator/>
      </w:r>
    </w:p>
  </w:footnote>
  <w:footnote w:type="continuationSeparator" w:id="0">
    <w:p w14:paraId="42887D27" w14:textId="77777777" w:rsidR="00465098" w:rsidRDefault="00465098" w:rsidP="00C30A73">
      <w:pPr>
        <w:spacing w:after="0" w:line="240" w:lineRule="auto"/>
      </w:pPr>
      <w:r>
        <w:continuationSeparator/>
      </w:r>
    </w:p>
  </w:footnote>
  <w:footnote w:id="1">
    <w:p w14:paraId="2F0F2706" w14:textId="77777777" w:rsidR="00465098" w:rsidRDefault="00465098" w:rsidP="00743BC1">
      <w:pPr>
        <w:pStyle w:val="FootnoteText"/>
      </w:pPr>
      <w:r>
        <w:rPr>
          <w:rStyle w:val="FootnoteReference"/>
        </w:rPr>
        <w:footnoteRef/>
      </w:r>
      <w:r>
        <w:t xml:space="preserve"> “</w:t>
      </w:r>
      <w:r>
        <w:rPr>
          <w:sz w:val="18"/>
          <w:szCs w:val="18"/>
        </w:rPr>
        <w:t>J</w:t>
      </w:r>
      <w:r w:rsidRPr="00F97F78">
        <w:rPr>
          <w:sz w:val="18"/>
          <w:szCs w:val="18"/>
        </w:rPr>
        <w:t>urisdict</w:t>
      </w:r>
      <w:r>
        <w:rPr>
          <w:sz w:val="18"/>
          <w:szCs w:val="18"/>
        </w:rPr>
        <w:t xml:space="preserve">ion” refers primarily to states </w:t>
      </w:r>
      <w:r w:rsidRPr="00F97F78">
        <w:rPr>
          <w:sz w:val="18"/>
          <w:szCs w:val="18"/>
        </w:rPr>
        <w:t xml:space="preserve">but </w:t>
      </w:r>
      <w:r>
        <w:rPr>
          <w:sz w:val="18"/>
          <w:szCs w:val="18"/>
        </w:rPr>
        <w:t>includes select</w:t>
      </w:r>
      <w:r w:rsidRPr="00F97F78">
        <w:rPr>
          <w:sz w:val="18"/>
          <w:szCs w:val="18"/>
        </w:rPr>
        <w:t xml:space="preserve"> metropolitan areas or other U.S. jurisdictions that convene Maternal Mortality Review Committees.</w:t>
      </w:r>
    </w:p>
  </w:footnote>
  <w:footnote w:id="2">
    <w:p w14:paraId="77299422" w14:textId="10AA6429" w:rsidR="00465098" w:rsidRDefault="00465098">
      <w:pPr>
        <w:pStyle w:val="FootnoteText"/>
      </w:pPr>
      <w:r>
        <w:rPr>
          <w:rStyle w:val="FootnoteReference"/>
        </w:rPr>
        <w:footnoteRef/>
      </w:r>
      <w:r>
        <w:t xml:space="preserve">Citrix ShareFile Security FAQs </w:t>
      </w:r>
      <w:hyperlink r:id="rId1" w:history="1">
        <w:r w:rsidRPr="0056499E">
          <w:rPr>
            <w:rStyle w:val="Hyperlink"/>
          </w:rPr>
          <w:t>https://www.sharefile.com/resources/citrix-sharefile-security-and-compliance-frequently-asked-questions</w:t>
        </w:r>
      </w:hyperlink>
      <w:r>
        <w:t>.</w:t>
      </w:r>
    </w:p>
  </w:footnote>
  <w:footnote w:id="3">
    <w:p w14:paraId="717FE264" w14:textId="77777777" w:rsidR="00465098" w:rsidRDefault="00465098" w:rsidP="004F78D8">
      <w:pPr>
        <w:spacing w:after="0" w:line="240" w:lineRule="auto"/>
      </w:pPr>
      <w:r>
        <w:rPr>
          <w:rStyle w:val="FootnoteReference"/>
        </w:rPr>
        <w:footnoteRef/>
      </w:r>
      <w:r>
        <w:t xml:space="preserve"> </w:t>
      </w:r>
      <w:r w:rsidRPr="00C11356">
        <w:rPr>
          <w:sz w:val="20"/>
          <w:szCs w:val="20"/>
        </w:rPr>
        <w:t xml:space="preserve">OMB M-17-12 – </w:t>
      </w:r>
      <w:r w:rsidRPr="00C11356">
        <w:rPr>
          <w:i/>
          <w:iCs/>
          <w:sz w:val="20"/>
          <w:szCs w:val="20"/>
        </w:rPr>
        <w:t xml:space="preserve">Preparing for and Responding to a Breach of Personally Identifiable Information (January 2017), page 9, </w:t>
      </w:r>
      <w:hyperlink r:id="rId2" w:history="1">
        <w:r w:rsidRPr="00C11356">
          <w:rPr>
            <w:rStyle w:val="Hyperlink"/>
            <w:color w:val="auto"/>
            <w:sz w:val="20"/>
            <w:szCs w:val="20"/>
          </w:rPr>
          <w:t>https://obamawhitehouse.archives.gov/sites/default/files/omb/memoranda/2017/m-17-12_0.pdf</w:t>
        </w:r>
      </w:hyperlink>
    </w:p>
  </w:footnote>
  <w:footnote w:id="4">
    <w:p w14:paraId="521D06B8" w14:textId="77FF564A" w:rsidR="00465098" w:rsidRPr="00514B4E" w:rsidRDefault="00465098" w:rsidP="004F78D8">
      <w:pPr>
        <w:pStyle w:val="FootnoteText"/>
      </w:pPr>
      <w:r w:rsidRPr="00514B4E">
        <w:rPr>
          <w:rStyle w:val="FootnoteReference"/>
        </w:rPr>
        <w:footnoteRef/>
      </w:r>
      <w:r>
        <w:rPr>
          <w:rFonts w:ascii="Calibri" w:hAnsi="Calibri" w:cs="Calibri"/>
          <w:color w:val="000000"/>
        </w:rPr>
        <w:t xml:space="preserve"> </w:t>
      </w:r>
      <w:r w:rsidRPr="00913984">
        <w:rPr>
          <w:rFonts w:cs="Helvetica"/>
          <w:color w:val="000000"/>
          <w:lang w:val="en"/>
        </w:rPr>
        <w:t>Policy for Preparing for and Responding to a Breach of Personally Identifiable Information (PII)</w:t>
      </w:r>
      <w:r>
        <w:rPr>
          <w:rFonts w:ascii="Calibri" w:hAnsi="Calibri" w:cs="Calibri"/>
          <w:color w:val="000000"/>
        </w:rPr>
        <w:t>,</w:t>
      </w:r>
      <w:r w:rsidRPr="00514B4E">
        <w:rPr>
          <w:rFonts w:ascii="Calibri" w:hAnsi="Calibri" w:cs="Calibri"/>
          <w:color w:val="000000"/>
        </w:rPr>
        <w:t xml:space="preserve"> </w:t>
      </w:r>
      <w:hyperlink r:id="rId3" w:history="1">
        <w:r>
          <w:rPr>
            <w:rStyle w:val="Hyperlink"/>
          </w:rPr>
          <w:t>https://www.hhs.gov/web/governance/digital-strategy/it-policy-archive/hhs-policy-preparing-and-responding-breach.html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D6F8" w14:textId="77777777" w:rsidR="00465098" w:rsidRPr="00141B63" w:rsidRDefault="00465098" w:rsidP="00C97AE4">
    <w:pPr>
      <w:tabs>
        <w:tab w:val="left" w:pos="1376"/>
        <w:tab w:val="right" w:pos="9360"/>
      </w:tabs>
      <w:spacing w:after="0"/>
      <w:jc w:val="right"/>
      <w:rPr>
        <w:i/>
        <w:sz w:val="18"/>
        <w:szCs w:val="18"/>
      </w:rPr>
    </w:pPr>
    <w:r w:rsidRPr="00141B63">
      <w:rPr>
        <w:i/>
        <w:sz w:val="18"/>
        <w:szCs w:val="18"/>
      </w:rPr>
      <w:t>CDC’s Maternal Mortality Review Information Application (MMRIA)</w:t>
    </w:r>
  </w:p>
  <w:p w14:paraId="367593A1" w14:textId="77777777" w:rsidR="00465098" w:rsidRPr="00141B63" w:rsidRDefault="00465098" w:rsidP="00C97AE4">
    <w:pPr>
      <w:spacing w:after="0"/>
      <w:jc w:val="right"/>
      <w:rPr>
        <w:i/>
        <w:sz w:val="18"/>
        <w:szCs w:val="18"/>
      </w:rPr>
    </w:pPr>
    <w:r w:rsidRPr="00141B63">
      <w:rPr>
        <w:i/>
        <w:sz w:val="18"/>
        <w:szCs w:val="18"/>
      </w:rPr>
      <w:t>Data Sharing Agreement (DSA)</w:t>
    </w:r>
  </w:p>
  <w:p w14:paraId="58EA8BAD" w14:textId="5445B26D" w:rsidR="00465098" w:rsidRPr="007F6A96" w:rsidRDefault="00465098" w:rsidP="007F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149" w14:textId="45EBBDA0" w:rsidR="00465098" w:rsidRPr="007F6A96" w:rsidRDefault="00465098" w:rsidP="007F6A96">
    <w:pPr>
      <w:tabs>
        <w:tab w:val="left" w:pos="1376"/>
        <w:tab w:val="right" w:pos="9360"/>
      </w:tabs>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88CD" w14:textId="77777777" w:rsidR="00465098" w:rsidRPr="00141B63" w:rsidRDefault="00465098" w:rsidP="00C97AE4">
    <w:pPr>
      <w:tabs>
        <w:tab w:val="left" w:pos="1376"/>
        <w:tab w:val="right" w:pos="9360"/>
      </w:tabs>
      <w:spacing w:after="0"/>
      <w:jc w:val="right"/>
      <w:rPr>
        <w:i/>
        <w:sz w:val="18"/>
        <w:szCs w:val="18"/>
      </w:rPr>
    </w:pPr>
    <w:r w:rsidRPr="00141B63">
      <w:rPr>
        <w:i/>
        <w:sz w:val="18"/>
        <w:szCs w:val="18"/>
      </w:rPr>
      <w:t>CDC’s Maternal Mortality Review Information Application (MMRIA)</w:t>
    </w:r>
  </w:p>
  <w:p w14:paraId="02C521E1" w14:textId="77777777" w:rsidR="00465098" w:rsidRPr="00141B63" w:rsidRDefault="00465098" w:rsidP="00C97AE4">
    <w:pPr>
      <w:spacing w:after="0"/>
      <w:jc w:val="right"/>
      <w:rPr>
        <w:i/>
        <w:sz w:val="18"/>
        <w:szCs w:val="18"/>
      </w:rPr>
    </w:pPr>
    <w:r w:rsidRPr="00141B63">
      <w:rPr>
        <w:i/>
        <w:sz w:val="18"/>
        <w:szCs w:val="18"/>
      </w:rPr>
      <w:t>Data Sharing Agreement (DSA)</w:t>
    </w:r>
  </w:p>
  <w:p w14:paraId="2144EA15" w14:textId="77777777" w:rsidR="00465098" w:rsidRPr="007F6A96" w:rsidRDefault="00465098" w:rsidP="007F6A96">
    <w:pPr>
      <w:tabs>
        <w:tab w:val="left" w:pos="1376"/>
        <w:tab w:val="right" w:pos="9360"/>
      </w:tabs>
      <w:spacing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D16"/>
    <w:multiLevelType w:val="hybridMultilevel"/>
    <w:tmpl w:val="3154B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D16F84"/>
    <w:multiLevelType w:val="multilevel"/>
    <w:tmpl w:val="8E70DED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800"/>
        </w:tabs>
        <w:ind w:left="180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55626"/>
    <w:multiLevelType w:val="hybridMultilevel"/>
    <w:tmpl w:val="3E06C24E"/>
    <w:lvl w:ilvl="0" w:tplc="D63C4030">
      <w:start w:val="1"/>
      <w:numFmt w:val="lowerRoman"/>
      <w:lvlText w:val="%1."/>
      <w:lvlJc w:val="left"/>
      <w:pPr>
        <w:tabs>
          <w:tab w:val="num" w:pos="1440"/>
        </w:tabs>
        <w:ind w:left="1440" w:hanging="720"/>
      </w:pPr>
      <w:rPr>
        <w:rFonts w:hint="default"/>
        <w:b/>
        <w:i/>
      </w:rPr>
    </w:lvl>
    <w:lvl w:ilvl="1" w:tplc="3E98A3C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4108F7"/>
    <w:multiLevelType w:val="hybridMultilevel"/>
    <w:tmpl w:val="38661C9C"/>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B5FB0"/>
    <w:multiLevelType w:val="multilevel"/>
    <w:tmpl w:val="819CB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D139A"/>
    <w:multiLevelType w:val="hybridMultilevel"/>
    <w:tmpl w:val="E65E5200"/>
    <w:lvl w:ilvl="0" w:tplc="0409000F">
      <w:start w:val="1"/>
      <w:numFmt w:val="decimal"/>
      <w:lvlText w:val="%1."/>
      <w:lvlJc w:val="left"/>
      <w:pPr>
        <w:ind w:left="360" w:hanging="360"/>
      </w:pPr>
      <w:rPr>
        <w:rFonts w:hint="default"/>
      </w:rPr>
    </w:lvl>
    <w:lvl w:ilvl="1" w:tplc="CF6E62E8">
      <w:start w:val="1"/>
      <w:numFmt w:val="lowerLetter"/>
      <w:lvlText w:val="%2."/>
      <w:lvlJc w:val="left"/>
      <w:pPr>
        <w:tabs>
          <w:tab w:val="num" w:pos="1080"/>
        </w:tabs>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991746"/>
    <w:multiLevelType w:val="hybridMultilevel"/>
    <w:tmpl w:val="27C06A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9E65157"/>
    <w:multiLevelType w:val="hybridMultilevel"/>
    <w:tmpl w:val="D8EC530C"/>
    <w:lvl w:ilvl="0" w:tplc="891A23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469B7"/>
    <w:multiLevelType w:val="multilevel"/>
    <w:tmpl w:val="772408F2"/>
    <w:lvl w:ilvl="0">
      <w:start w:val="1"/>
      <w:numFmt w:val="lowerRoman"/>
      <w:lvlText w:val="%1."/>
      <w:lvlJc w:val="left"/>
      <w:pPr>
        <w:tabs>
          <w:tab w:val="num" w:pos="1440"/>
        </w:tabs>
        <w:ind w:left="1440" w:hanging="720"/>
      </w:pPr>
      <w:rPr>
        <w:rFonts w:hint="default"/>
        <w:b/>
        <w:i/>
      </w:rPr>
    </w:lvl>
    <w:lvl w:ilvl="1">
      <w:start w:val="1"/>
      <w:numFmt w:val="lowerLetter"/>
      <w:lvlText w:val="%2."/>
      <w:lvlJc w:val="left"/>
      <w:pPr>
        <w:tabs>
          <w:tab w:val="num" w:pos="1440"/>
        </w:tabs>
        <w:ind w:left="1440" w:hanging="360"/>
      </w:pPr>
      <w:rPr>
        <w:rFonts w:hint="default"/>
        <w:b/>
        <w:i/>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25252D3E"/>
    <w:multiLevelType w:val="hybridMultilevel"/>
    <w:tmpl w:val="FA925312"/>
    <w:lvl w:ilvl="0" w:tplc="4DF87160">
      <w:start w:val="1"/>
      <w:numFmt w:val="bullet"/>
      <w:lvlText w:val=""/>
      <w:lvlJc w:val="left"/>
      <w:pPr>
        <w:tabs>
          <w:tab w:val="num" w:pos="720"/>
        </w:tabs>
        <w:ind w:left="720" w:hanging="360"/>
      </w:pPr>
      <w:rPr>
        <w:rFonts w:ascii="Symbol" w:hAnsi="Symbol" w:hint="default"/>
        <w:color w:val="auto"/>
      </w:rPr>
    </w:lvl>
    <w:lvl w:ilvl="1" w:tplc="D4D46C30">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3625B"/>
    <w:multiLevelType w:val="hybridMultilevel"/>
    <w:tmpl w:val="338E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C37D7"/>
    <w:multiLevelType w:val="hybridMultilevel"/>
    <w:tmpl w:val="D3BC5B56"/>
    <w:lvl w:ilvl="0" w:tplc="5FE447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73F92"/>
    <w:multiLevelType w:val="hybridMultilevel"/>
    <w:tmpl w:val="2CDEA690"/>
    <w:lvl w:ilvl="0" w:tplc="50B81C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75D40"/>
    <w:multiLevelType w:val="hybridMultilevel"/>
    <w:tmpl w:val="385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71D5"/>
    <w:multiLevelType w:val="hybridMultilevel"/>
    <w:tmpl w:val="6E926B86"/>
    <w:lvl w:ilvl="0" w:tplc="9A507E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5C60AA"/>
    <w:multiLevelType w:val="hybridMultilevel"/>
    <w:tmpl w:val="CA56D7E4"/>
    <w:lvl w:ilvl="0" w:tplc="7234D07C">
      <w:start w:val="1"/>
      <w:numFmt w:val="lowerRoman"/>
      <w:lvlText w:val="%1."/>
      <w:lvlJc w:val="left"/>
      <w:pPr>
        <w:ind w:left="1440" w:hanging="720"/>
      </w:pPr>
      <w:rPr>
        <w:rFonts w:cs="Arial"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9D3026"/>
    <w:multiLevelType w:val="hybridMultilevel"/>
    <w:tmpl w:val="DF3ECDF6"/>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105C9"/>
    <w:multiLevelType w:val="hybridMultilevel"/>
    <w:tmpl w:val="72CA14C0"/>
    <w:lvl w:ilvl="0" w:tplc="6BCE3EEA">
      <w:start w:val="1"/>
      <w:numFmt w:val="lowerRoman"/>
      <w:lvlText w:val="%1."/>
      <w:lvlJc w:val="left"/>
      <w:pPr>
        <w:tabs>
          <w:tab w:val="num" w:pos="1440"/>
        </w:tabs>
        <w:ind w:left="1440" w:hanging="720"/>
      </w:pPr>
      <w:rPr>
        <w:rFonts w:hint="default"/>
        <w:b/>
        <w:i/>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0339DB"/>
    <w:multiLevelType w:val="hybridMultilevel"/>
    <w:tmpl w:val="8042FF94"/>
    <w:lvl w:ilvl="0" w:tplc="7B943A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24A78"/>
    <w:multiLevelType w:val="hybridMultilevel"/>
    <w:tmpl w:val="26A265B4"/>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D6581"/>
    <w:multiLevelType w:val="hybridMultilevel"/>
    <w:tmpl w:val="F0F6BD00"/>
    <w:lvl w:ilvl="0" w:tplc="EA880EE0">
      <w:start w:val="1"/>
      <w:numFmt w:val="bullet"/>
      <w:lvlText w:val=""/>
      <w:lvlJc w:val="left"/>
      <w:pPr>
        <w:tabs>
          <w:tab w:val="num" w:pos="720"/>
        </w:tabs>
        <w:ind w:left="720" w:hanging="360"/>
      </w:pPr>
      <w:rPr>
        <w:rFonts w:ascii="Symbol" w:hAnsi="Symbol" w:hint="default"/>
      </w:rPr>
    </w:lvl>
    <w:lvl w:ilvl="1" w:tplc="308A8566">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6B193E"/>
    <w:multiLevelType w:val="hybridMultilevel"/>
    <w:tmpl w:val="155EF99C"/>
    <w:lvl w:ilvl="0" w:tplc="EA880E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D1DA0"/>
    <w:multiLevelType w:val="multilevel"/>
    <w:tmpl w:val="58EE135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6126D12"/>
    <w:multiLevelType w:val="hybridMultilevel"/>
    <w:tmpl w:val="199E3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2518691">
    <w:abstractNumId w:val="14"/>
  </w:num>
  <w:num w:numId="2" w16cid:durableId="1151141454">
    <w:abstractNumId w:val="2"/>
  </w:num>
  <w:num w:numId="3" w16cid:durableId="1941911288">
    <w:abstractNumId w:val="8"/>
  </w:num>
  <w:num w:numId="4" w16cid:durableId="1875656232">
    <w:abstractNumId w:val="1"/>
  </w:num>
  <w:num w:numId="5" w16cid:durableId="2140951890">
    <w:abstractNumId w:val="17"/>
  </w:num>
  <w:num w:numId="6" w16cid:durableId="326566398">
    <w:abstractNumId w:val="3"/>
  </w:num>
  <w:num w:numId="7" w16cid:durableId="1925454744">
    <w:abstractNumId w:val="16"/>
  </w:num>
  <w:num w:numId="8" w16cid:durableId="454099197">
    <w:abstractNumId w:val="20"/>
  </w:num>
  <w:num w:numId="9" w16cid:durableId="150559043">
    <w:abstractNumId w:val="9"/>
  </w:num>
  <w:num w:numId="10" w16cid:durableId="35741532">
    <w:abstractNumId w:val="19"/>
  </w:num>
  <w:num w:numId="11" w16cid:durableId="582108540">
    <w:abstractNumId w:val="21"/>
  </w:num>
  <w:num w:numId="12" w16cid:durableId="266349352">
    <w:abstractNumId w:val="6"/>
  </w:num>
  <w:num w:numId="13" w16cid:durableId="29964269">
    <w:abstractNumId w:val="0"/>
  </w:num>
  <w:num w:numId="14" w16cid:durableId="1319070795">
    <w:abstractNumId w:val="15"/>
  </w:num>
  <w:num w:numId="15" w16cid:durableId="425810067">
    <w:abstractNumId w:val="22"/>
  </w:num>
  <w:num w:numId="16" w16cid:durableId="1752237927">
    <w:abstractNumId w:val="7"/>
  </w:num>
  <w:num w:numId="17" w16cid:durableId="631636006">
    <w:abstractNumId w:val="4"/>
  </w:num>
  <w:num w:numId="18" w16cid:durableId="311640639">
    <w:abstractNumId w:val="23"/>
  </w:num>
  <w:num w:numId="19" w16cid:durableId="564141807">
    <w:abstractNumId w:val="5"/>
  </w:num>
  <w:num w:numId="20" w16cid:durableId="1193612480">
    <w:abstractNumId w:val="13"/>
  </w:num>
  <w:num w:numId="21" w16cid:durableId="41950349">
    <w:abstractNumId w:val="12"/>
  </w:num>
  <w:num w:numId="22" w16cid:durableId="2116123814">
    <w:abstractNumId w:val="18"/>
  </w:num>
  <w:num w:numId="23" w16cid:durableId="1379738347">
    <w:abstractNumId w:val="11"/>
  </w:num>
  <w:num w:numId="24" w16cid:durableId="1466577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6C"/>
    <w:rsid w:val="000120C0"/>
    <w:rsid w:val="00013BF7"/>
    <w:rsid w:val="00015F93"/>
    <w:rsid w:val="00020427"/>
    <w:rsid w:val="00040032"/>
    <w:rsid w:val="00041599"/>
    <w:rsid w:val="000440DE"/>
    <w:rsid w:val="00053231"/>
    <w:rsid w:val="000577B9"/>
    <w:rsid w:val="000625D3"/>
    <w:rsid w:val="00067E72"/>
    <w:rsid w:val="00076465"/>
    <w:rsid w:val="00084CAC"/>
    <w:rsid w:val="00091C49"/>
    <w:rsid w:val="00092363"/>
    <w:rsid w:val="00092DDE"/>
    <w:rsid w:val="00092EBF"/>
    <w:rsid w:val="000968E4"/>
    <w:rsid w:val="000A0836"/>
    <w:rsid w:val="000A2F58"/>
    <w:rsid w:val="000A4E33"/>
    <w:rsid w:val="000B426E"/>
    <w:rsid w:val="000B5F7A"/>
    <w:rsid w:val="000B7922"/>
    <w:rsid w:val="000F7056"/>
    <w:rsid w:val="00103C1E"/>
    <w:rsid w:val="00112785"/>
    <w:rsid w:val="00112FD1"/>
    <w:rsid w:val="001164A0"/>
    <w:rsid w:val="00120655"/>
    <w:rsid w:val="00127626"/>
    <w:rsid w:val="00136336"/>
    <w:rsid w:val="00137EDB"/>
    <w:rsid w:val="00141B63"/>
    <w:rsid w:val="001626F7"/>
    <w:rsid w:val="00164181"/>
    <w:rsid w:val="0016602A"/>
    <w:rsid w:val="00171A29"/>
    <w:rsid w:val="00177818"/>
    <w:rsid w:val="00177AF9"/>
    <w:rsid w:val="001979D2"/>
    <w:rsid w:val="001B5A8B"/>
    <w:rsid w:val="001B7D77"/>
    <w:rsid w:val="001C0EB3"/>
    <w:rsid w:val="001C5C91"/>
    <w:rsid w:val="001C7BE0"/>
    <w:rsid w:val="001D0F99"/>
    <w:rsid w:val="001E2DB2"/>
    <w:rsid w:val="001E4BD9"/>
    <w:rsid w:val="001F6911"/>
    <w:rsid w:val="00201F04"/>
    <w:rsid w:val="00206C09"/>
    <w:rsid w:val="00217CBA"/>
    <w:rsid w:val="00226031"/>
    <w:rsid w:val="00230D1E"/>
    <w:rsid w:val="00233BB4"/>
    <w:rsid w:val="00240506"/>
    <w:rsid w:val="00243AA7"/>
    <w:rsid w:val="00243E67"/>
    <w:rsid w:val="002477E5"/>
    <w:rsid w:val="0029389A"/>
    <w:rsid w:val="002962E5"/>
    <w:rsid w:val="002A0197"/>
    <w:rsid w:val="002A28E2"/>
    <w:rsid w:val="002A3783"/>
    <w:rsid w:val="002B0317"/>
    <w:rsid w:val="002B04D4"/>
    <w:rsid w:val="002B5EFC"/>
    <w:rsid w:val="002B709C"/>
    <w:rsid w:val="002C1095"/>
    <w:rsid w:val="002D3094"/>
    <w:rsid w:val="002D3D2F"/>
    <w:rsid w:val="002F6C00"/>
    <w:rsid w:val="0030421D"/>
    <w:rsid w:val="0031016F"/>
    <w:rsid w:val="00315E1C"/>
    <w:rsid w:val="003200FE"/>
    <w:rsid w:val="00323B40"/>
    <w:rsid w:val="003311B6"/>
    <w:rsid w:val="003331F7"/>
    <w:rsid w:val="00334B92"/>
    <w:rsid w:val="0033714C"/>
    <w:rsid w:val="00346F5D"/>
    <w:rsid w:val="003479AB"/>
    <w:rsid w:val="00350FCC"/>
    <w:rsid w:val="003665BC"/>
    <w:rsid w:val="003731DA"/>
    <w:rsid w:val="0038025A"/>
    <w:rsid w:val="0038107C"/>
    <w:rsid w:val="00381864"/>
    <w:rsid w:val="00390849"/>
    <w:rsid w:val="003917DA"/>
    <w:rsid w:val="003A2868"/>
    <w:rsid w:val="003A3C00"/>
    <w:rsid w:val="003A3CB6"/>
    <w:rsid w:val="003A70BB"/>
    <w:rsid w:val="003B47EC"/>
    <w:rsid w:val="003C4B13"/>
    <w:rsid w:val="003D2C0E"/>
    <w:rsid w:val="003F1AE1"/>
    <w:rsid w:val="003F1E2F"/>
    <w:rsid w:val="003F26CD"/>
    <w:rsid w:val="0040126F"/>
    <w:rsid w:val="00402F99"/>
    <w:rsid w:val="00407309"/>
    <w:rsid w:val="004203F5"/>
    <w:rsid w:val="00425E3B"/>
    <w:rsid w:val="00436C92"/>
    <w:rsid w:val="0044310B"/>
    <w:rsid w:val="004435BD"/>
    <w:rsid w:val="004638A5"/>
    <w:rsid w:val="00465098"/>
    <w:rsid w:val="0046700F"/>
    <w:rsid w:val="0047060A"/>
    <w:rsid w:val="004834B7"/>
    <w:rsid w:val="0048639F"/>
    <w:rsid w:val="004B55B0"/>
    <w:rsid w:val="004C606D"/>
    <w:rsid w:val="004C7530"/>
    <w:rsid w:val="004D1746"/>
    <w:rsid w:val="004E0F45"/>
    <w:rsid w:val="004E65C2"/>
    <w:rsid w:val="004E7242"/>
    <w:rsid w:val="004F00AA"/>
    <w:rsid w:val="004F1B58"/>
    <w:rsid w:val="004F5D35"/>
    <w:rsid w:val="004F78D8"/>
    <w:rsid w:val="00500B43"/>
    <w:rsid w:val="00502853"/>
    <w:rsid w:val="00506EF2"/>
    <w:rsid w:val="00510D70"/>
    <w:rsid w:val="00512325"/>
    <w:rsid w:val="00537525"/>
    <w:rsid w:val="00540967"/>
    <w:rsid w:val="00546CF3"/>
    <w:rsid w:val="00547E31"/>
    <w:rsid w:val="00561A96"/>
    <w:rsid w:val="00565499"/>
    <w:rsid w:val="00567F63"/>
    <w:rsid w:val="005714D7"/>
    <w:rsid w:val="005735B2"/>
    <w:rsid w:val="00580449"/>
    <w:rsid w:val="00584A47"/>
    <w:rsid w:val="00591E57"/>
    <w:rsid w:val="00594B2E"/>
    <w:rsid w:val="005A7455"/>
    <w:rsid w:val="005C3A33"/>
    <w:rsid w:val="005C5886"/>
    <w:rsid w:val="005D1968"/>
    <w:rsid w:val="005F16CC"/>
    <w:rsid w:val="00600591"/>
    <w:rsid w:val="0060086C"/>
    <w:rsid w:val="006151C6"/>
    <w:rsid w:val="00623887"/>
    <w:rsid w:val="006271FE"/>
    <w:rsid w:val="00634BCA"/>
    <w:rsid w:val="00662C83"/>
    <w:rsid w:val="00667D68"/>
    <w:rsid w:val="006722AE"/>
    <w:rsid w:val="00672348"/>
    <w:rsid w:val="006756E2"/>
    <w:rsid w:val="0068423A"/>
    <w:rsid w:val="00690CF3"/>
    <w:rsid w:val="006B35E2"/>
    <w:rsid w:val="006B7E2C"/>
    <w:rsid w:val="006C4295"/>
    <w:rsid w:val="006C551E"/>
    <w:rsid w:val="006D511C"/>
    <w:rsid w:val="006E7121"/>
    <w:rsid w:val="006F233D"/>
    <w:rsid w:val="006F4A08"/>
    <w:rsid w:val="0070108E"/>
    <w:rsid w:val="007075D5"/>
    <w:rsid w:val="0072044C"/>
    <w:rsid w:val="00727DE8"/>
    <w:rsid w:val="007330E9"/>
    <w:rsid w:val="00743A1D"/>
    <w:rsid w:val="00743BC1"/>
    <w:rsid w:val="00750AA3"/>
    <w:rsid w:val="007925E9"/>
    <w:rsid w:val="007934D5"/>
    <w:rsid w:val="007A3F72"/>
    <w:rsid w:val="007B07B8"/>
    <w:rsid w:val="007B55B0"/>
    <w:rsid w:val="007B571F"/>
    <w:rsid w:val="007C19ED"/>
    <w:rsid w:val="007C3FF4"/>
    <w:rsid w:val="007C45A0"/>
    <w:rsid w:val="007C4B68"/>
    <w:rsid w:val="007D5AAA"/>
    <w:rsid w:val="007E2FE5"/>
    <w:rsid w:val="007E60F3"/>
    <w:rsid w:val="007F2FEF"/>
    <w:rsid w:val="007F4DEA"/>
    <w:rsid w:val="007F6180"/>
    <w:rsid w:val="007F6A96"/>
    <w:rsid w:val="00802D35"/>
    <w:rsid w:val="00810219"/>
    <w:rsid w:val="0081438C"/>
    <w:rsid w:val="008164B6"/>
    <w:rsid w:val="00816908"/>
    <w:rsid w:val="00822C39"/>
    <w:rsid w:val="00856D8F"/>
    <w:rsid w:val="00863C08"/>
    <w:rsid w:val="00875AF0"/>
    <w:rsid w:val="0089318A"/>
    <w:rsid w:val="008A695F"/>
    <w:rsid w:val="008B1FDC"/>
    <w:rsid w:val="008C3AAF"/>
    <w:rsid w:val="008D1FBB"/>
    <w:rsid w:val="008D2A45"/>
    <w:rsid w:val="008D6275"/>
    <w:rsid w:val="008E0330"/>
    <w:rsid w:val="008E7ABA"/>
    <w:rsid w:val="008F16FB"/>
    <w:rsid w:val="00913984"/>
    <w:rsid w:val="00926F12"/>
    <w:rsid w:val="00933A47"/>
    <w:rsid w:val="00935D10"/>
    <w:rsid w:val="00950761"/>
    <w:rsid w:val="00967021"/>
    <w:rsid w:val="0097107B"/>
    <w:rsid w:val="00976719"/>
    <w:rsid w:val="009775C4"/>
    <w:rsid w:val="00985895"/>
    <w:rsid w:val="009914AC"/>
    <w:rsid w:val="009A1D3A"/>
    <w:rsid w:val="009B27E9"/>
    <w:rsid w:val="009B5219"/>
    <w:rsid w:val="009B6EC1"/>
    <w:rsid w:val="009C3891"/>
    <w:rsid w:val="009C623C"/>
    <w:rsid w:val="009D1F89"/>
    <w:rsid w:val="009D2D8C"/>
    <w:rsid w:val="009E0EA6"/>
    <w:rsid w:val="009E3DF5"/>
    <w:rsid w:val="00A058BD"/>
    <w:rsid w:val="00A10046"/>
    <w:rsid w:val="00A106F8"/>
    <w:rsid w:val="00A12919"/>
    <w:rsid w:val="00A302CD"/>
    <w:rsid w:val="00A4369D"/>
    <w:rsid w:val="00A6182D"/>
    <w:rsid w:val="00A6271F"/>
    <w:rsid w:val="00A633AF"/>
    <w:rsid w:val="00A835CA"/>
    <w:rsid w:val="00A9278E"/>
    <w:rsid w:val="00A946D8"/>
    <w:rsid w:val="00A9579C"/>
    <w:rsid w:val="00A965D2"/>
    <w:rsid w:val="00AB2D5A"/>
    <w:rsid w:val="00AC2A71"/>
    <w:rsid w:val="00AC52B0"/>
    <w:rsid w:val="00AD1795"/>
    <w:rsid w:val="00AD1E2F"/>
    <w:rsid w:val="00AD58D3"/>
    <w:rsid w:val="00B16CB0"/>
    <w:rsid w:val="00B25CC3"/>
    <w:rsid w:val="00B261B8"/>
    <w:rsid w:val="00B34E35"/>
    <w:rsid w:val="00B3593D"/>
    <w:rsid w:val="00B461A4"/>
    <w:rsid w:val="00B51A6C"/>
    <w:rsid w:val="00B569A2"/>
    <w:rsid w:val="00B57CA7"/>
    <w:rsid w:val="00B65D66"/>
    <w:rsid w:val="00B74E2D"/>
    <w:rsid w:val="00B776C6"/>
    <w:rsid w:val="00B8795E"/>
    <w:rsid w:val="00BA61A7"/>
    <w:rsid w:val="00BB7384"/>
    <w:rsid w:val="00BD246C"/>
    <w:rsid w:val="00BE25ED"/>
    <w:rsid w:val="00BE28E3"/>
    <w:rsid w:val="00BE3681"/>
    <w:rsid w:val="00BE4A3B"/>
    <w:rsid w:val="00BF5536"/>
    <w:rsid w:val="00C04AA9"/>
    <w:rsid w:val="00C059CD"/>
    <w:rsid w:val="00C30A73"/>
    <w:rsid w:val="00C42A56"/>
    <w:rsid w:val="00C4321E"/>
    <w:rsid w:val="00C60210"/>
    <w:rsid w:val="00C62389"/>
    <w:rsid w:val="00C637CC"/>
    <w:rsid w:val="00C64353"/>
    <w:rsid w:val="00C82771"/>
    <w:rsid w:val="00C85345"/>
    <w:rsid w:val="00C91CD1"/>
    <w:rsid w:val="00C923C4"/>
    <w:rsid w:val="00C97AE4"/>
    <w:rsid w:val="00CA1370"/>
    <w:rsid w:val="00CA346E"/>
    <w:rsid w:val="00CA6828"/>
    <w:rsid w:val="00CA6A2B"/>
    <w:rsid w:val="00CB51AD"/>
    <w:rsid w:val="00CB6696"/>
    <w:rsid w:val="00CC03D5"/>
    <w:rsid w:val="00CD655A"/>
    <w:rsid w:val="00CE4E38"/>
    <w:rsid w:val="00CF46CD"/>
    <w:rsid w:val="00CF78E6"/>
    <w:rsid w:val="00CF7AE1"/>
    <w:rsid w:val="00D027C4"/>
    <w:rsid w:val="00D07204"/>
    <w:rsid w:val="00D1099C"/>
    <w:rsid w:val="00D113D4"/>
    <w:rsid w:val="00D11543"/>
    <w:rsid w:val="00D21927"/>
    <w:rsid w:val="00D26C70"/>
    <w:rsid w:val="00D4231C"/>
    <w:rsid w:val="00D54602"/>
    <w:rsid w:val="00D662E0"/>
    <w:rsid w:val="00D66970"/>
    <w:rsid w:val="00D732DA"/>
    <w:rsid w:val="00D777FA"/>
    <w:rsid w:val="00D918E5"/>
    <w:rsid w:val="00D93275"/>
    <w:rsid w:val="00DB30E1"/>
    <w:rsid w:val="00DB7B30"/>
    <w:rsid w:val="00DD5F92"/>
    <w:rsid w:val="00DE12CD"/>
    <w:rsid w:val="00DF0963"/>
    <w:rsid w:val="00DF1221"/>
    <w:rsid w:val="00DF2B69"/>
    <w:rsid w:val="00DF30B2"/>
    <w:rsid w:val="00E107E1"/>
    <w:rsid w:val="00E1291F"/>
    <w:rsid w:val="00E26222"/>
    <w:rsid w:val="00E33C76"/>
    <w:rsid w:val="00E36FA9"/>
    <w:rsid w:val="00E54143"/>
    <w:rsid w:val="00E5537D"/>
    <w:rsid w:val="00E63FEA"/>
    <w:rsid w:val="00E65196"/>
    <w:rsid w:val="00E66594"/>
    <w:rsid w:val="00E73691"/>
    <w:rsid w:val="00E74175"/>
    <w:rsid w:val="00E81B46"/>
    <w:rsid w:val="00E83BE5"/>
    <w:rsid w:val="00EA14CD"/>
    <w:rsid w:val="00EA794E"/>
    <w:rsid w:val="00EB624F"/>
    <w:rsid w:val="00ED51FA"/>
    <w:rsid w:val="00EE29E0"/>
    <w:rsid w:val="00EE4C65"/>
    <w:rsid w:val="00F04B4C"/>
    <w:rsid w:val="00F1580A"/>
    <w:rsid w:val="00F1692C"/>
    <w:rsid w:val="00F23EC5"/>
    <w:rsid w:val="00F30899"/>
    <w:rsid w:val="00F316BD"/>
    <w:rsid w:val="00F36F63"/>
    <w:rsid w:val="00F528F5"/>
    <w:rsid w:val="00F543B7"/>
    <w:rsid w:val="00F54F63"/>
    <w:rsid w:val="00F5616B"/>
    <w:rsid w:val="00F6411F"/>
    <w:rsid w:val="00F67E87"/>
    <w:rsid w:val="00F70DA2"/>
    <w:rsid w:val="00F74A7B"/>
    <w:rsid w:val="00F76669"/>
    <w:rsid w:val="00F941BC"/>
    <w:rsid w:val="00F96E10"/>
    <w:rsid w:val="00F97F78"/>
    <w:rsid w:val="00FA0F9F"/>
    <w:rsid w:val="00FA4292"/>
    <w:rsid w:val="00FD2280"/>
    <w:rsid w:val="00FD49B5"/>
    <w:rsid w:val="00FD666C"/>
    <w:rsid w:val="00FD6A19"/>
    <w:rsid w:val="00FE2953"/>
    <w:rsid w:val="00FF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264716"/>
  <w15:chartTrackingRefBased/>
  <w15:docId w15:val="{20FD9420-A5D3-412F-AB6D-D72BEC75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B0"/>
  </w:style>
  <w:style w:type="paragraph" w:styleId="Heading1">
    <w:name w:val="heading 1"/>
    <w:basedOn w:val="Normal"/>
    <w:next w:val="Normal"/>
    <w:link w:val="Heading1Char"/>
    <w:uiPriority w:val="9"/>
    <w:qFormat/>
    <w:rsid w:val="00E81B46"/>
    <w:pPr>
      <w:keepNext/>
      <w:keepLines/>
      <w:numPr>
        <w:numId w:val="23"/>
      </w:numPr>
      <w:spacing w:before="120" w:after="0"/>
      <w:ind w:left="36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440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6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B4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0440D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rsid w:val="004C606D"/>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4C606D"/>
    <w:rPr>
      <w:rFonts w:ascii="Arial" w:eastAsia="Times New Roman" w:hAnsi="Arial" w:cs="Times New Roman"/>
      <w:sz w:val="24"/>
      <w:szCs w:val="24"/>
    </w:rPr>
  </w:style>
  <w:style w:type="paragraph" w:styleId="BodyTextIndent3">
    <w:name w:val="Body Text Indent 3"/>
    <w:basedOn w:val="Normal"/>
    <w:link w:val="BodyTextIndent3Char"/>
    <w:rsid w:val="004C606D"/>
    <w:pPr>
      <w:tabs>
        <w:tab w:val="left" w:pos="720"/>
        <w:tab w:val="left" w:pos="1080"/>
      </w:tabs>
      <w:spacing w:after="0" w:line="240" w:lineRule="auto"/>
      <w:ind w:left="108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4C606D"/>
    <w:rPr>
      <w:rFonts w:ascii="Arial" w:eastAsia="Times New Roman" w:hAnsi="Arial" w:cs="Arial"/>
      <w:sz w:val="24"/>
      <w:szCs w:val="24"/>
    </w:rPr>
  </w:style>
  <w:style w:type="paragraph" w:styleId="ListParagraph">
    <w:name w:val="List Paragraph"/>
    <w:basedOn w:val="Normal"/>
    <w:uiPriority w:val="34"/>
    <w:qFormat/>
    <w:rsid w:val="004C606D"/>
    <w:pPr>
      <w:spacing w:after="0" w:line="240" w:lineRule="auto"/>
      <w:ind w:left="720"/>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B261B8"/>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B261B8"/>
    <w:pPr>
      <w:spacing w:after="120"/>
      <w:ind w:left="360"/>
    </w:pPr>
  </w:style>
  <w:style w:type="character" w:customStyle="1" w:styleId="BodyTextIndentChar">
    <w:name w:val="Body Text Indent Char"/>
    <w:basedOn w:val="DefaultParagraphFont"/>
    <w:link w:val="BodyTextIndent"/>
    <w:uiPriority w:val="99"/>
    <w:semiHidden/>
    <w:rsid w:val="00B261B8"/>
  </w:style>
  <w:style w:type="paragraph" w:styleId="BodyText">
    <w:name w:val="Body Text"/>
    <w:basedOn w:val="Normal"/>
    <w:link w:val="BodyTextChar"/>
    <w:uiPriority w:val="99"/>
    <w:semiHidden/>
    <w:unhideWhenUsed/>
    <w:rsid w:val="00B261B8"/>
    <w:pPr>
      <w:spacing w:after="120"/>
    </w:pPr>
  </w:style>
  <w:style w:type="character" w:customStyle="1" w:styleId="BodyTextChar">
    <w:name w:val="Body Text Char"/>
    <w:basedOn w:val="DefaultParagraphFont"/>
    <w:link w:val="BodyText"/>
    <w:uiPriority w:val="99"/>
    <w:semiHidden/>
    <w:rsid w:val="00B261B8"/>
  </w:style>
  <w:style w:type="character" w:customStyle="1" w:styleId="superscript1">
    <w:name w:val="superscript1"/>
    <w:basedOn w:val="DefaultParagraphFont"/>
    <w:rsid w:val="00B261B8"/>
    <w:rPr>
      <w:sz w:val="20"/>
      <w:szCs w:val="20"/>
      <w:vertAlign w:val="superscript"/>
    </w:rPr>
  </w:style>
  <w:style w:type="paragraph" w:customStyle="1" w:styleId="Default">
    <w:name w:val="Default"/>
    <w:rsid w:val="00B261B8"/>
    <w:pPr>
      <w:autoSpaceDE w:val="0"/>
      <w:autoSpaceDN w:val="0"/>
      <w:adjustRightInd w:val="0"/>
      <w:spacing w:after="0" w:line="240" w:lineRule="auto"/>
    </w:pPr>
    <w:rPr>
      <w:rFonts w:ascii="Verdana" w:eastAsia="Times New Roman" w:hAnsi="Verdana" w:cs="Verdana"/>
      <w:color w:val="000000"/>
      <w:sz w:val="24"/>
      <w:szCs w:val="24"/>
    </w:rPr>
  </w:style>
  <w:style w:type="paragraph" w:styleId="Footer">
    <w:name w:val="footer"/>
    <w:basedOn w:val="Normal"/>
    <w:link w:val="FooterChar"/>
    <w:uiPriority w:val="99"/>
    <w:unhideWhenUsed/>
    <w:rsid w:val="00C3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73"/>
  </w:style>
  <w:style w:type="character" w:styleId="Hyperlink">
    <w:name w:val="Hyperlink"/>
    <w:basedOn w:val="DefaultParagraphFont"/>
    <w:uiPriority w:val="99"/>
    <w:unhideWhenUsed/>
    <w:rsid w:val="00F97F78"/>
    <w:rPr>
      <w:color w:val="0563C1" w:themeColor="hyperlink"/>
      <w:u w:val="single"/>
    </w:rPr>
  </w:style>
  <w:style w:type="table" w:styleId="TableGrid">
    <w:name w:val="Table Grid"/>
    <w:basedOn w:val="TableNormal"/>
    <w:uiPriority w:val="59"/>
    <w:rsid w:val="00CA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438C"/>
    <w:rPr>
      <w:color w:val="954F72" w:themeColor="followedHyperlink"/>
      <w:u w:val="single"/>
    </w:rPr>
  </w:style>
  <w:style w:type="character" w:styleId="CommentReference">
    <w:name w:val="annotation reference"/>
    <w:basedOn w:val="DefaultParagraphFont"/>
    <w:uiPriority w:val="99"/>
    <w:semiHidden/>
    <w:unhideWhenUsed/>
    <w:rsid w:val="000577B9"/>
    <w:rPr>
      <w:sz w:val="16"/>
      <w:szCs w:val="16"/>
    </w:rPr>
  </w:style>
  <w:style w:type="paragraph" w:styleId="CommentText">
    <w:name w:val="annotation text"/>
    <w:basedOn w:val="Normal"/>
    <w:link w:val="CommentTextChar"/>
    <w:unhideWhenUsed/>
    <w:rsid w:val="000577B9"/>
    <w:pPr>
      <w:spacing w:line="240" w:lineRule="auto"/>
    </w:pPr>
    <w:rPr>
      <w:sz w:val="20"/>
      <w:szCs w:val="20"/>
    </w:rPr>
  </w:style>
  <w:style w:type="character" w:customStyle="1" w:styleId="CommentTextChar">
    <w:name w:val="Comment Text Char"/>
    <w:basedOn w:val="DefaultParagraphFont"/>
    <w:link w:val="CommentText"/>
    <w:rsid w:val="000577B9"/>
    <w:rPr>
      <w:sz w:val="20"/>
      <w:szCs w:val="20"/>
    </w:rPr>
  </w:style>
  <w:style w:type="paragraph" w:styleId="CommentSubject">
    <w:name w:val="annotation subject"/>
    <w:basedOn w:val="CommentText"/>
    <w:next w:val="CommentText"/>
    <w:link w:val="CommentSubjectChar"/>
    <w:uiPriority w:val="99"/>
    <w:semiHidden/>
    <w:unhideWhenUsed/>
    <w:rsid w:val="000577B9"/>
    <w:rPr>
      <w:b/>
      <w:bCs/>
    </w:rPr>
  </w:style>
  <w:style w:type="character" w:customStyle="1" w:styleId="CommentSubjectChar">
    <w:name w:val="Comment Subject Char"/>
    <w:basedOn w:val="CommentTextChar"/>
    <w:link w:val="CommentSubject"/>
    <w:uiPriority w:val="99"/>
    <w:semiHidden/>
    <w:rsid w:val="000577B9"/>
    <w:rPr>
      <w:b/>
      <w:bCs/>
      <w:sz w:val="20"/>
      <w:szCs w:val="20"/>
    </w:rPr>
  </w:style>
  <w:style w:type="paragraph" w:styleId="BalloonText">
    <w:name w:val="Balloon Text"/>
    <w:basedOn w:val="Normal"/>
    <w:link w:val="BalloonTextChar"/>
    <w:uiPriority w:val="99"/>
    <w:semiHidden/>
    <w:unhideWhenUsed/>
    <w:rsid w:val="00057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B9"/>
    <w:rPr>
      <w:rFonts w:ascii="Segoe UI" w:hAnsi="Segoe UI" w:cs="Segoe UI"/>
      <w:sz w:val="18"/>
      <w:szCs w:val="18"/>
    </w:rPr>
  </w:style>
  <w:style w:type="paragraph" w:styleId="TOCHeading">
    <w:name w:val="TOC Heading"/>
    <w:basedOn w:val="Heading1"/>
    <w:next w:val="Normal"/>
    <w:uiPriority w:val="39"/>
    <w:unhideWhenUsed/>
    <w:qFormat/>
    <w:rsid w:val="00E1291F"/>
    <w:pPr>
      <w:outlineLvl w:val="9"/>
    </w:pPr>
  </w:style>
  <w:style w:type="paragraph" w:styleId="TOC1">
    <w:name w:val="toc 1"/>
    <w:basedOn w:val="Normal"/>
    <w:next w:val="Normal"/>
    <w:autoRedefine/>
    <w:uiPriority w:val="39"/>
    <w:unhideWhenUsed/>
    <w:rsid w:val="00E1291F"/>
    <w:pPr>
      <w:spacing w:after="100"/>
    </w:pPr>
  </w:style>
  <w:style w:type="paragraph" w:styleId="TOC2">
    <w:name w:val="toc 2"/>
    <w:basedOn w:val="Normal"/>
    <w:next w:val="Normal"/>
    <w:autoRedefine/>
    <w:uiPriority w:val="39"/>
    <w:unhideWhenUsed/>
    <w:rsid w:val="00E1291F"/>
    <w:pPr>
      <w:spacing w:after="100"/>
      <w:ind w:left="220"/>
    </w:pPr>
  </w:style>
  <w:style w:type="paragraph" w:styleId="TOC3">
    <w:name w:val="toc 3"/>
    <w:basedOn w:val="Normal"/>
    <w:next w:val="Normal"/>
    <w:autoRedefine/>
    <w:uiPriority w:val="39"/>
    <w:unhideWhenUsed/>
    <w:rsid w:val="00E1291F"/>
    <w:pPr>
      <w:spacing w:after="100"/>
      <w:ind w:left="440"/>
    </w:pPr>
  </w:style>
  <w:style w:type="paragraph" w:styleId="FootnoteText">
    <w:name w:val="footnote text"/>
    <w:basedOn w:val="Normal"/>
    <w:link w:val="FootnoteTextChar"/>
    <w:uiPriority w:val="99"/>
    <w:semiHidden/>
    <w:unhideWhenUsed/>
    <w:rsid w:val="003A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C00"/>
    <w:rPr>
      <w:sz w:val="20"/>
      <w:szCs w:val="20"/>
    </w:rPr>
  </w:style>
  <w:style w:type="character" w:styleId="FootnoteReference">
    <w:name w:val="footnote reference"/>
    <w:basedOn w:val="DefaultParagraphFont"/>
    <w:uiPriority w:val="99"/>
    <w:semiHidden/>
    <w:unhideWhenUsed/>
    <w:rsid w:val="003A3C00"/>
    <w:rPr>
      <w:vertAlign w:val="superscript"/>
    </w:rPr>
  </w:style>
  <w:style w:type="paragraph" w:styleId="NoSpacing">
    <w:name w:val="No Spacing"/>
    <w:link w:val="NoSpacingChar"/>
    <w:uiPriority w:val="1"/>
    <w:qFormat/>
    <w:rsid w:val="00DE12CD"/>
    <w:pPr>
      <w:spacing w:after="0" w:line="240" w:lineRule="auto"/>
    </w:pPr>
    <w:rPr>
      <w:rFonts w:eastAsiaTheme="minorEastAsia"/>
    </w:rPr>
  </w:style>
  <w:style w:type="character" w:customStyle="1" w:styleId="NoSpacingChar">
    <w:name w:val="No Spacing Char"/>
    <w:basedOn w:val="DefaultParagraphFont"/>
    <w:link w:val="NoSpacing"/>
    <w:uiPriority w:val="1"/>
    <w:rsid w:val="00DE12CD"/>
    <w:rPr>
      <w:rFonts w:eastAsiaTheme="minorEastAsia"/>
    </w:rPr>
  </w:style>
  <w:style w:type="character" w:styleId="PlaceholderText">
    <w:name w:val="Placeholder Text"/>
    <w:basedOn w:val="DefaultParagraphFont"/>
    <w:uiPriority w:val="99"/>
    <w:semiHidden/>
    <w:rsid w:val="00141B63"/>
    <w:rPr>
      <w:color w:val="808080"/>
    </w:rPr>
  </w:style>
  <w:style w:type="character" w:styleId="UnresolvedMention">
    <w:name w:val="Unresolved Mention"/>
    <w:basedOn w:val="DefaultParagraphFont"/>
    <w:uiPriority w:val="99"/>
    <w:semiHidden/>
    <w:unhideWhenUsed/>
    <w:rsid w:val="00C91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3808">
      <w:bodyDiv w:val="1"/>
      <w:marLeft w:val="0"/>
      <w:marRight w:val="0"/>
      <w:marTop w:val="0"/>
      <w:marBottom w:val="0"/>
      <w:divBdr>
        <w:top w:val="none" w:sz="0" w:space="0" w:color="auto"/>
        <w:left w:val="none" w:sz="0" w:space="0" w:color="auto"/>
        <w:bottom w:val="none" w:sz="0" w:space="0" w:color="auto"/>
        <w:right w:val="none" w:sz="0" w:space="0" w:color="auto"/>
      </w:divBdr>
      <w:divsChild>
        <w:div w:id="2140024319">
          <w:marLeft w:val="0"/>
          <w:marRight w:val="0"/>
          <w:marTop w:val="0"/>
          <w:marBottom w:val="0"/>
          <w:divBdr>
            <w:top w:val="none" w:sz="0" w:space="0" w:color="auto"/>
            <w:left w:val="none" w:sz="0" w:space="0" w:color="auto"/>
            <w:bottom w:val="none" w:sz="0" w:space="0" w:color="auto"/>
            <w:right w:val="none" w:sz="0" w:space="0" w:color="auto"/>
          </w:divBdr>
          <w:divsChild>
            <w:div w:id="1021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5563">
      <w:bodyDiv w:val="1"/>
      <w:marLeft w:val="0"/>
      <w:marRight w:val="0"/>
      <w:marTop w:val="0"/>
      <w:marBottom w:val="0"/>
      <w:divBdr>
        <w:top w:val="none" w:sz="0" w:space="0" w:color="auto"/>
        <w:left w:val="none" w:sz="0" w:space="0" w:color="auto"/>
        <w:bottom w:val="none" w:sz="0" w:space="0" w:color="auto"/>
        <w:right w:val="none" w:sz="0" w:space="0" w:color="auto"/>
      </w:divBdr>
    </w:div>
    <w:div w:id="1225674601">
      <w:bodyDiv w:val="1"/>
      <w:marLeft w:val="0"/>
      <w:marRight w:val="0"/>
      <w:marTop w:val="0"/>
      <w:marBottom w:val="0"/>
      <w:divBdr>
        <w:top w:val="none" w:sz="0" w:space="0" w:color="auto"/>
        <w:left w:val="none" w:sz="0" w:space="0" w:color="auto"/>
        <w:bottom w:val="none" w:sz="0" w:space="0" w:color="auto"/>
        <w:right w:val="none" w:sz="0" w:space="0" w:color="auto"/>
      </w:divBdr>
    </w:div>
    <w:div w:id="1261374232">
      <w:bodyDiv w:val="1"/>
      <w:marLeft w:val="0"/>
      <w:marRight w:val="0"/>
      <w:marTop w:val="0"/>
      <w:marBottom w:val="0"/>
      <w:divBdr>
        <w:top w:val="none" w:sz="0" w:space="0" w:color="auto"/>
        <w:left w:val="none" w:sz="0" w:space="0" w:color="auto"/>
        <w:bottom w:val="none" w:sz="0" w:space="0" w:color="auto"/>
        <w:right w:val="none" w:sz="0" w:space="0" w:color="auto"/>
      </w:divBdr>
    </w:div>
    <w:div w:id="1781410981">
      <w:bodyDiv w:val="1"/>
      <w:marLeft w:val="0"/>
      <w:marRight w:val="0"/>
      <w:marTop w:val="0"/>
      <w:marBottom w:val="0"/>
      <w:divBdr>
        <w:top w:val="none" w:sz="0" w:space="0" w:color="auto"/>
        <w:left w:val="none" w:sz="0" w:space="0" w:color="auto"/>
        <w:bottom w:val="none" w:sz="0" w:space="0" w:color="auto"/>
        <w:right w:val="none" w:sz="0" w:space="0" w:color="auto"/>
      </w:divBdr>
    </w:div>
    <w:div w:id="20956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dcpartners.sharepoint.com/sites/NCCDPHP/MMRIA"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mo-mmria.cdc.gov/data-dictionar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hs.gov/web/governance/digital-strategy/it-policy-archive/hhs-policy-preparing-and-responding-breach.html" TargetMode="External"/><Relationship Id="rId2" Type="http://schemas.openxmlformats.org/officeDocument/2006/relationships/hyperlink" Target="https://obamawhitehouse.archives.gov/sites/default/files/omb/memoranda/2017/m-17-12_0.pdf" TargetMode="External"/><Relationship Id="rId1" Type="http://schemas.openxmlformats.org/officeDocument/2006/relationships/hyperlink" Target="https://www.sharefile.com/resources/citrix-sharefile-security-and-compliance-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BD85-E57E-43EC-92C8-E3502791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MMRIA Data Sharing Agreement Version 0.8</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MMRIA Data Sharing Agreement Version 0.8</dc:title>
  <dc:subject>MMRIA Data Sharing Agreement Version 0.8</dc:subject>
  <dc:creator>Centers for Disease Control and Prevention (CDC)</dc:creator>
  <cp:keywords>MMRIA, Maternal Mortality Review Information Application, Data Sharing Agreement, DSA, Centers for Disease Control and Prevention (CDC), January 2024, Version 0.8</cp:keywords>
  <dc:description/>
  <cp:lastModifiedBy>LaPete, Mally (CDC/IOD/OC) (CTR)</cp:lastModifiedBy>
  <cp:revision>3</cp:revision>
  <cp:lastPrinted>2020-12-08T16:01:00Z</cp:lastPrinted>
  <dcterms:created xsi:type="dcterms:W3CDTF">2024-01-18T20:16:00Z</dcterms:created>
  <dcterms:modified xsi:type="dcterms:W3CDTF">2024-01-19T12:09:00Z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2020-11-04T18:15:17Z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c56b0486-91bc-4239-bcf2-97cb5715c8c8</vt:lpwstr>
  </property>
  <property fmtid="{D5CDD505-2E9C-101B-9397-08002B2CF9AE}" pid="8" name="MSIP_Label_7b94a7b8-f06c-4dfe-bdcc-9b548fd58c31_ContentBits">
    <vt:lpwstr>0</vt:lpwstr>
  </property>
  <property fmtid="{D5CDD505-2E9C-101B-9397-08002B2CF9AE}" pid="9" name="Language">
    <vt:lpwstr>English</vt:lpwstr>
  </property>
</Properties>
</file>