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FAFC" w14:textId="35A28993" w:rsidR="00350177" w:rsidRDefault="00350177" w:rsidP="00350177">
      <w:pPr>
        <w:rPr>
          <w:bCs/>
        </w:rPr>
      </w:pPr>
      <w:r w:rsidRPr="00295A45">
        <w:rPr>
          <w:bCs/>
        </w:rPr>
        <w:t xml:space="preserve">Welcome to this overview of the Wellness Policy </w:t>
      </w:r>
      <w:proofErr w:type="gramStart"/>
      <w:r w:rsidRPr="00295A45">
        <w:rPr>
          <w:bCs/>
        </w:rPr>
        <w:t>In</w:t>
      </w:r>
      <w:proofErr w:type="gramEnd"/>
      <w:r w:rsidRPr="00295A45">
        <w:rPr>
          <w:bCs/>
        </w:rPr>
        <w:t xml:space="preserve"> Action Tool</w:t>
      </w:r>
      <w:r>
        <w:rPr>
          <w:bCs/>
        </w:rPr>
        <w:t>,</w:t>
      </w:r>
      <w:r w:rsidRPr="00295A45">
        <w:rPr>
          <w:bCs/>
        </w:rPr>
        <w:t xml:space="preserve"> or WPAT.</w:t>
      </w:r>
      <w:r w:rsidR="000B2004">
        <w:rPr>
          <w:bCs/>
        </w:rPr>
        <w:t xml:space="preserve"> </w:t>
      </w:r>
      <w:r w:rsidRPr="00295A45">
        <w:rPr>
          <w:bCs/>
        </w:rPr>
        <w:t xml:space="preserve">In this </w:t>
      </w:r>
      <w:r>
        <w:rPr>
          <w:bCs/>
        </w:rPr>
        <w:t>module</w:t>
      </w:r>
      <w:r w:rsidRPr="00295A45">
        <w:rPr>
          <w:bCs/>
        </w:rPr>
        <w:t xml:space="preserve"> we will give background information on</w:t>
      </w:r>
      <w:r>
        <w:rPr>
          <w:bCs/>
        </w:rPr>
        <w:t xml:space="preserve"> </w:t>
      </w:r>
      <w:r w:rsidRPr="00295A45">
        <w:rPr>
          <w:bCs/>
        </w:rPr>
        <w:t>local school wellness policies, review the elements of a local wellness policy</w:t>
      </w:r>
      <w:r>
        <w:rPr>
          <w:bCs/>
        </w:rPr>
        <w:t>,</w:t>
      </w:r>
      <w:r w:rsidRPr="00295A45">
        <w:rPr>
          <w:bCs/>
        </w:rPr>
        <w:t xml:space="preserve"> including the triennial assessment process</w:t>
      </w:r>
      <w:r>
        <w:rPr>
          <w:bCs/>
        </w:rPr>
        <w:t>,</w:t>
      </w:r>
      <w:r w:rsidRPr="00295A45">
        <w:rPr>
          <w:bCs/>
        </w:rPr>
        <w:t xml:space="preserve"> and introduce you to a new tool that can help measure the implementation of </w:t>
      </w:r>
      <w:r>
        <w:rPr>
          <w:bCs/>
        </w:rPr>
        <w:t>a</w:t>
      </w:r>
      <w:r w:rsidRPr="00295A45">
        <w:rPr>
          <w:bCs/>
        </w:rPr>
        <w:t xml:space="preserve"> local wellness policy.</w:t>
      </w:r>
    </w:p>
    <w:p w14:paraId="72B47AB1" w14:textId="77777777" w:rsidR="000B2004" w:rsidRDefault="000B2004" w:rsidP="00350177">
      <w:pPr>
        <w:rPr>
          <w:bCs/>
        </w:rPr>
      </w:pPr>
    </w:p>
    <w:p w14:paraId="6974969B" w14:textId="77777777" w:rsidR="00427D69" w:rsidRPr="008B5BB2" w:rsidRDefault="00427D69" w:rsidP="00427D69">
      <w:pPr>
        <w:rPr>
          <w:rFonts w:asciiTheme="minorHAnsi" w:hAnsiTheme="minorHAnsi" w:cstheme="minorHAnsi"/>
        </w:rPr>
      </w:pPr>
      <w:r w:rsidRPr="008B5BB2">
        <w:rPr>
          <w:rFonts w:asciiTheme="minorHAnsi" w:hAnsiTheme="minorHAnsi" w:cstheme="minorHAnsi"/>
        </w:rPr>
        <w:t>Local school wellness policies are written document</w:t>
      </w:r>
      <w:r>
        <w:rPr>
          <w:rFonts w:asciiTheme="minorHAnsi" w:hAnsiTheme="minorHAnsi" w:cstheme="minorHAnsi"/>
        </w:rPr>
        <w:t>s</w:t>
      </w:r>
      <w:r w:rsidRPr="008B5BB2">
        <w:rPr>
          <w:rFonts w:asciiTheme="minorHAnsi" w:hAnsiTheme="minorHAnsi" w:cstheme="minorHAnsi"/>
        </w:rPr>
        <w:t xml:space="preserve"> that outline school district</w:t>
      </w:r>
      <w:r>
        <w:rPr>
          <w:rFonts w:asciiTheme="minorHAnsi" w:hAnsiTheme="minorHAnsi" w:cstheme="minorHAnsi"/>
        </w:rPr>
        <w:t>s</w:t>
      </w:r>
      <w:r w:rsidRPr="008B5BB2">
        <w:rPr>
          <w:rFonts w:asciiTheme="minorHAnsi" w:hAnsiTheme="minorHAnsi" w:cstheme="minorHAnsi"/>
        </w:rPr>
        <w:t>’ efforts around nutrition</w:t>
      </w:r>
      <w:r>
        <w:rPr>
          <w:rFonts w:asciiTheme="minorHAnsi" w:hAnsiTheme="minorHAnsi" w:cstheme="minorHAnsi"/>
        </w:rPr>
        <w:t xml:space="preserve">, </w:t>
      </w:r>
      <w:r w:rsidRPr="008B5BB2">
        <w:rPr>
          <w:rFonts w:asciiTheme="minorHAnsi" w:hAnsiTheme="minorHAnsi" w:cstheme="minorHAnsi"/>
        </w:rPr>
        <w:t>physical activity</w:t>
      </w:r>
      <w:r>
        <w:rPr>
          <w:rFonts w:asciiTheme="minorHAnsi" w:hAnsiTheme="minorHAnsi" w:cstheme="minorHAnsi"/>
        </w:rPr>
        <w:t xml:space="preserve"> and other activities that promote student health and well-being</w:t>
      </w:r>
      <w:r w:rsidRPr="008B5BB2">
        <w:rPr>
          <w:rFonts w:asciiTheme="minorHAnsi" w:hAnsiTheme="minorHAnsi" w:cstheme="minorHAnsi"/>
        </w:rPr>
        <w:t>.</w:t>
      </w:r>
    </w:p>
    <w:p w14:paraId="14D65081" w14:textId="77777777" w:rsidR="00427D69" w:rsidRDefault="00427D69" w:rsidP="00427D69">
      <w:pPr>
        <w:rPr>
          <w:rFonts w:asciiTheme="minorHAnsi" w:hAnsiTheme="minorHAnsi" w:cstheme="minorHAnsi"/>
        </w:rPr>
      </w:pPr>
    </w:p>
    <w:p w14:paraId="38C2A2A2" w14:textId="03349F77" w:rsidR="00427D69" w:rsidRPr="008B5BB2" w:rsidRDefault="00427D69" w:rsidP="00427D69">
      <w:pPr>
        <w:rPr>
          <w:rFonts w:asciiTheme="minorHAnsi" w:hAnsiTheme="minorHAnsi" w:cstheme="minorHAnsi"/>
        </w:rPr>
      </w:pPr>
      <w:r w:rsidRPr="008B5BB2">
        <w:rPr>
          <w:rFonts w:asciiTheme="minorHAnsi" w:hAnsiTheme="minorHAnsi" w:cstheme="minorHAnsi"/>
        </w:rPr>
        <w:t xml:space="preserve">They were first </w:t>
      </w:r>
      <w:r>
        <w:rPr>
          <w:rFonts w:asciiTheme="minorHAnsi" w:hAnsiTheme="minorHAnsi" w:cstheme="minorHAnsi"/>
        </w:rPr>
        <w:t xml:space="preserve">established by </w:t>
      </w:r>
      <w:r w:rsidRPr="008B5BB2">
        <w:rPr>
          <w:rFonts w:asciiTheme="minorHAnsi" w:hAnsiTheme="minorHAnsi" w:cstheme="minorHAnsi"/>
        </w:rPr>
        <w:t>the Child Nutrition and WIC Reauthorization Act of 2004 and then were updated through the Healthy Hunger-Free Kids Act of 2010.</w:t>
      </w:r>
    </w:p>
    <w:p w14:paraId="7EA02EFD" w14:textId="77777777" w:rsidR="00427D69" w:rsidRDefault="00427D69" w:rsidP="00427D69">
      <w:pPr>
        <w:rPr>
          <w:rFonts w:asciiTheme="minorHAnsi" w:hAnsiTheme="minorHAnsi" w:cstheme="minorHAnsi"/>
        </w:rPr>
      </w:pPr>
    </w:p>
    <w:p w14:paraId="1DE5F107" w14:textId="7CDB2826" w:rsidR="00427D69" w:rsidRPr="008B5BB2" w:rsidRDefault="00427D69" w:rsidP="00427D69">
      <w:pPr>
        <w:rPr>
          <w:rFonts w:asciiTheme="minorHAnsi" w:hAnsiTheme="minorHAnsi" w:cstheme="minorHAnsi"/>
        </w:rPr>
      </w:pPr>
      <w:r w:rsidRPr="008B5BB2">
        <w:rPr>
          <w:rFonts w:asciiTheme="minorHAnsi" w:hAnsiTheme="minorHAnsi" w:cstheme="minorHAnsi"/>
        </w:rPr>
        <w:t>All school districts that participate in a USDA Child Nutrition Program, including the National School Lunch Program or School Breakfast Program</w:t>
      </w:r>
      <w:r>
        <w:rPr>
          <w:rFonts w:asciiTheme="minorHAnsi" w:hAnsiTheme="minorHAnsi" w:cstheme="minorHAnsi"/>
        </w:rPr>
        <w:t>,</w:t>
      </w:r>
      <w:r w:rsidRPr="008B5BB2">
        <w:rPr>
          <w:rFonts w:asciiTheme="minorHAnsi" w:hAnsiTheme="minorHAnsi" w:cstheme="minorHAnsi"/>
        </w:rPr>
        <w:t xml:space="preserve"> are required to have a local school wellness policy.</w:t>
      </w:r>
    </w:p>
    <w:p w14:paraId="0B84C498" w14:textId="77777777" w:rsidR="00427D69" w:rsidRDefault="00427D69" w:rsidP="00427D69">
      <w:pPr>
        <w:rPr>
          <w:rFonts w:asciiTheme="minorHAnsi" w:hAnsiTheme="minorHAnsi" w:cstheme="minorHAnsi"/>
        </w:rPr>
      </w:pPr>
    </w:p>
    <w:p w14:paraId="195C5AA9" w14:textId="6237A368" w:rsidR="00427D69" w:rsidRPr="008B5BB2" w:rsidRDefault="00427D69" w:rsidP="00427D69">
      <w:pPr>
        <w:rPr>
          <w:rFonts w:asciiTheme="minorHAnsi" w:hAnsiTheme="minorHAnsi" w:cstheme="minorHAnsi"/>
        </w:rPr>
      </w:pPr>
      <w:r w:rsidRPr="008B5BB2">
        <w:rPr>
          <w:rFonts w:asciiTheme="minorHAnsi" w:hAnsiTheme="minorHAnsi" w:cstheme="minorHAnsi"/>
        </w:rPr>
        <w:t xml:space="preserve">USDA has outlined minimum requirements for the wellness policy, but the intention is that each district will develop a policy that reflects the needs of students and schools in the district. </w:t>
      </w:r>
    </w:p>
    <w:p w14:paraId="09A536FC" w14:textId="77777777" w:rsidR="00427D69" w:rsidRDefault="00427D69" w:rsidP="00427D69">
      <w:pPr>
        <w:rPr>
          <w:rFonts w:asciiTheme="minorHAnsi" w:hAnsiTheme="minorHAnsi" w:cstheme="minorHAnsi"/>
        </w:rPr>
      </w:pPr>
    </w:p>
    <w:p w14:paraId="25F56EED" w14:textId="7F76BFB3" w:rsidR="000B2004" w:rsidRPr="00295A45" w:rsidRDefault="00427D69" w:rsidP="00427D69">
      <w:pPr>
        <w:rPr>
          <w:bCs/>
        </w:rPr>
      </w:pPr>
      <w:proofErr w:type="gramStart"/>
      <w:r w:rsidRPr="008B5BB2">
        <w:rPr>
          <w:rFonts w:asciiTheme="minorHAnsi" w:hAnsiTheme="minorHAnsi" w:cstheme="minorHAnsi"/>
        </w:rPr>
        <w:t>So</w:t>
      </w:r>
      <w:proofErr w:type="gramEnd"/>
      <w:r w:rsidRPr="008B5BB2">
        <w:rPr>
          <w:rFonts w:asciiTheme="minorHAnsi" w:hAnsiTheme="minorHAnsi" w:cstheme="minorHAnsi"/>
        </w:rPr>
        <w:t xml:space="preserve"> one way to think of a local wellness policy is that it is a roadmap for health and wellness efforts for the district.</w:t>
      </w:r>
    </w:p>
    <w:p w14:paraId="1C865E9E" w14:textId="77777777" w:rsidR="00A72B7B" w:rsidRDefault="00A72B7B" w:rsidP="00A72B7B">
      <w:pPr>
        <w:rPr>
          <w:bCs/>
        </w:rPr>
      </w:pPr>
    </w:p>
    <w:p w14:paraId="46CF8C33" w14:textId="591883D5" w:rsidR="00A72B7B" w:rsidRPr="003442FA" w:rsidRDefault="00A72B7B" w:rsidP="00A72B7B">
      <w:pPr>
        <w:rPr>
          <w:bCs/>
        </w:rPr>
      </w:pPr>
      <w:r w:rsidRPr="003442FA">
        <w:rPr>
          <w:bCs/>
        </w:rPr>
        <w:t xml:space="preserve">All local wellness policies must include </w:t>
      </w:r>
      <w:r w:rsidRPr="000C5E23">
        <w:rPr>
          <w:bCs/>
        </w:rPr>
        <w:t xml:space="preserve">standards for school meals that meet or exceed the </w:t>
      </w:r>
      <w:r>
        <w:rPr>
          <w:bCs/>
        </w:rPr>
        <w:t xml:space="preserve">USDA </w:t>
      </w:r>
      <w:r w:rsidRPr="000C5E23">
        <w:rPr>
          <w:bCs/>
        </w:rPr>
        <w:t>requirements</w:t>
      </w:r>
      <w:r>
        <w:rPr>
          <w:bCs/>
        </w:rPr>
        <w:t xml:space="preserve">, these include, </w:t>
      </w:r>
      <w:r w:rsidRPr="003442FA">
        <w:rPr>
          <w:bCs/>
        </w:rPr>
        <w:t>nutrition standards for all foods</w:t>
      </w:r>
      <w:r>
        <w:rPr>
          <w:bCs/>
        </w:rPr>
        <w:t xml:space="preserve"> and beverages</w:t>
      </w:r>
      <w:r w:rsidRPr="003442FA">
        <w:rPr>
          <w:bCs/>
        </w:rPr>
        <w:t xml:space="preserve"> sold during the day that meet or exceed the Smart Snacks in School nutrition standards</w:t>
      </w:r>
      <w:r>
        <w:rPr>
          <w:bCs/>
        </w:rPr>
        <w:t xml:space="preserve">, </w:t>
      </w:r>
      <w:r w:rsidRPr="003442FA">
        <w:rPr>
          <w:bCs/>
        </w:rPr>
        <w:t>goals for nutrition education and promotion</w:t>
      </w:r>
      <w:r>
        <w:rPr>
          <w:bCs/>
        </w:rPr>
        <w:t>,</w:t>
      </w:r>
      <w:r w:rsidRPr="003442FA">
        <w:rPr>
          <w:bCs/>
        </w:rPr>
        <w:t xml:space="preserve"> </w:t>
      </w:r>
      <w:proofErr w:type="gramStart"/>
      <w:r w:rsidRPr="003442FA">
        <w:rPr>
          <w:bCs/>
        </w:rPr>
        <w:t>and also</w:t>
      </w:r>
      <w:proofErr w:type="gramEnd"/>
      <w:r w:rsidRPr="003442FA">
        <w:rPr>
          <w:bCs/>
        </w:rPr>
        <w:t xml:space="preserve"> goals for physical activity. Districts get to choose what those specific goals are.</w:t>
      </w:r>
    </w:p>
    <w:p w14:paraId="1BFD8959" w14:textId="77777777" w:rsidR="00A72B7B" w:rsidRDefault="00A72B7B" w:rsidP="00A72B7B">
      <w:pPr>
        <w:rPr>
          <w:bCs/>
        </w:rPr>
      </w:pPr>
    </w:p>
    <w:p w14:paraId="23424889" w14:textId="69E89DE0" w:rsidR="00A72B7B" w:rsidRPr="003442FA" w:rsidRDefault="00A72B7B" w:rsidP="00A72B7B">
      <w:pPr>
        <w:rPr>
          <w:bCs/>
        </w:rPr>
      </w:pPr>
      <w:r w:rsidRPr="003442FA">
        <w:rPr>
          <w:bCs/>
        </w:rPr>
        <w:t xml:space="preserve">Wellness </w:t>
      </w:r>
      <w:r w:rsidRPr="00190897">
        <w:rPr>
          <w:bCs/>
        </w:rPr>
        <w:t>policies must</w:t>
      </w:r>
      <w:r w:rsidRPr="003442FA">
        <w:rPr>
          <w:bCs/>
        </w:rPr>
        <w:t xml:space="preserve"> also describe the nutrition standards for other foods and beverages that are available during the school day</w:t>
      </w:r>
      <w:r>
        <w:rPr>
          <w:bCs/>
        </w:rPr>
        <w:t>, such as foods and beverages used as a reward or offered at</w:t>
      </w:r>
      <w:r w:rsidRPr="003442FA">
        <w:rPr>
          <w:bCs/>
        </w:rPr>
        <w:t xml:space="preserve"> school events</w:t>
      </w:r>
      <w:r>
        <w:rPr>
          <w:bCs/>
        </w:rPr>
        <w:t xml:space="preserve"> or</w:t>
      </w:r>
      <w:r w:rsidRPr="003442FA">
        <w:rPr>
          <w:bCs/>
        </w:rPr>
        <w:t xml:space="preserve"> classroom parties. </w:t>
      </w:r>
    </w:p>
    <w:p w14:paraId="303B0C3A" w14:textId="77777777" w:rsidR="00A72B7B" w:rsidRDefault="00A72B7B" w:rsidP="00A72B7B">
      <w:pPr>
        <w:rPr>
          <w:bCs/>
        </w:rPr>
      </w:pPr>
    </w:p>
    <w:p w14:paraId="40E5789A" w14:textId="688ACF2E" w:rsidR="00A72B7B" w:rsidRPr="003442FA" w:rsidRDefault="00A72B7B" w:rsidP="00A72B7B">
      <w:pPr>
        <w:rPr>
          <w:bCs/>
        </w:rPr>
      </w:pPr>
      <w:r w:rsidRPr="003442FA">
        <w:rPr>
          <w:bCs/>
        </w:rPr>
        <w:t xml:space="preserve">Policies </w:t>
      </w:r>
      <w:r w:rsidRPr="00190897">
        <w:rPr>
          <w:bCs/>
        </w:rPr>
        <w:t>must</w:t>
      </w:r>
      <w:r w:rsidRPr="003442FA">
        <w:rPr>
          <w:bCs/>
        </w:rPr>
        <w:t xml:space="preserve"> also include language about food and beverage marketing that allow</w:t>
      </w:r>
      <w:r>
        <w:rPr>
          <w:bCs/>
        </w:rPr>
        <w:t>s</w:t>
      </w:r>
      <w:r w:rsidRPr="003442FA">
        <w:rPr>
          <w:bCs/>
        </w:rPr>
        <w:t xml:space="preserve"> marketing and advertising of only those foods and beverages that meet the Smart Snacks in School nutrition standards.</w:t>
      </w:r>
    </w:p>
    <w:p w14:paraId="0B8F8EA9" w14:textId="77777777" w:rsidR="00A72B7B" w:rsidRDefault="00A72B7B" w:rsidP="00A72B7B">
      <w:pPr>
        <w:rPr>
          <w:bCs/>
        </w:rPr>
      </w:pPr>
    </w:p>
    <w:p w14:paraId="3E5074B3" w14:textId="6450D1DA" w:rsidR="00A72B7B" w:rsidRPr="003442FA" w:rsidRDefault="00A72B7B" w:rsidP="00A72B7B">
      <w:pPr>
        <w:rPr>
          <w:bCs/>
        </w:rPr>
      </w:pPr>
      <w:r w:rsidRPr="003442FA">
        <w:rPr>
          <w:bCs/>
        </w:rPr>
        <w:t xml:space="preserve">Districts must also allow the public to be involved in the wellness policy </w:t>
      </w:r>
      <w:r>
        <w:rPr>
          <w:bCs/>
        </w:rPr>
        <w:t xml:space="preserve">development and update </w:t>
      </w:r>
      <w:r w:rsidRPr="003442FA">
        <w:rPr>
          <w:bCs/>
        </w:rPr>
        <w:t>process.</w:t>
      </w:r>
    </w:p>
    <w:p w14:paraId="1F6EBD2D" w14:textId="77777777" w:rsidR="00A72B7B" w:rsidRDefault="00A72B7B" w:rsidP="00A72B7B">
      <w:pPr>
        <w:rPr>
          <w:bCs/>
        </w:rPr>
      </w:pPr>
    </w:p>
    <w:p w14:paraId="1FADFAC4" w14:textId="1D60A38B" w:rsidR="002B0631" w:rsidRDefault="00A72B7B" w:rsidP="00A72B7B">
      <w:pPr>
        <w:rPr>
          <w:bCs/>
        </w:rPr>
      </w:pPr>
      <w:r w:rsidRPr="003442FA">
        <w:rPr>
          <w:bCs/>
        </w:rPr>
        <w:t xml:space="preserve">And lastly there is a requirement that at least once every three years, districts complete an assessment of the policy called a triennial assessment. </w:t>
      </w:r>
    </w:p>
    <w:p w14:paraId="65068C94" w14:textId="77777777" w:rsidR="009C6D22" w:rsidRDefault="009C6D22" w:rsidP="00A72B7B">
      <w:pPr>
        <w:rPr>
          <w:bCs/>
        </w:rPr>
      </w:pPr>
    </w:p>
    <w:p w14:paraId="2EDA765C" w14:textId="77777777" w:rsidR="009C6D22" w:rsidRPr="00211EC3" w:rsidRDefault="009C6D22" w:rsidP="009C6D22">
      <w:pPr>
        <w:rPr>
          <w:bCs/>
        </w:rPr>
      </w:pPr>
      <w:r w:rsidRPr="00211EC3">
        <w:rPr>
          <w:bCs/>
        </w:rPr>
        <w:t xml:space="preserve">According to the guidance from USDA, local education agencies must </w:t>
      </w:r>
      <w:proofErr w:type="gramStart"/>
      <w:r w:rsidRPr="00211EC3">
        <w:rPr>
          <w:bCs/>
        </w:rPr>
        <w:t>conduct an assessment of</w:t>
      </w:r>
      <w:proofErr w:type="gramEnd"/>
      <w:r w:rsidRPr="00211EC3">
        <w:rPr>
          <w:bCs/>
        </w:rPr>
        <w:t xml:space="preserve"> the wellness policy every 3 years, at a minimum. This assessment should show</w:t>
      </w:r>
      <w:r>
        <w:rPr>
          <w:bCs/>
        </w:rPr>
        <w:t>:</w:t>
      </w:r>
    </w:p>
    <w:p w14:paraId="0DFB7FFE" w14:textId="77777777" w:rsidR="009C6D22" w:rsidRPr="00211EC3" w:rsidRDefault="009C6D22" w:rsidP="009C6D22">
      <w:pPr>
        <w:numPr>
          <w:ilvl w:val="0"/>
          <w:numId w:val="1"/>
        </w:numPr>
        <w:rPr>
          <w:bCs/>
        </w:rPr>
      </w:pPr>
      <w:r w:rsidRPr="00211EC3">
        <w:rPr>
          <w:bCs/>
        </w:rPr>
        <w:t>Compliance with the wellness policy,</w:t>
      </w:r>
    </w:p>
    <w:p w14:paraId="0469DB37" w14:textId="77777777" w:rsidR="009C6D22" w:rsidRPr="00211EC3" w:rsidRDefault="009C6D22" w:rsidP="009C6D22">
      <w:pPr>
        <w:numPr>
          <w:ilvl w:val="0"/>
          <w:numId w:val="1"/>
        </w:numPr>
        <w:rPr>
          <w:bCs/>
        </w:rPr>
      </w:pPr>
      <w:r w:rsidRPr="00211EC3">
        <w:rPr>
          <w:bCs/>
        </w:rPr>
        <w:t>How the wellness policy compares to model wellness policies, and</w:t>
      </w:r>
    </w:p>
    <w:p w14:paraId="6C0B7956" w14:textId="77777777" w:rsidR="009C6D22" w:rsidRPr="00211EC3" w:rsidRDefault="009C6D22" w:rsidP="009C6D22">
      <w:pPr>
        <w:numPr>
          <w:ilvl w:val="0"/>
          <w:numId w:val="1"/>
        </w:numPr>
        <w:rPr>
          <w:bCs/>
        </w:rPr>
      </w:pPr>
      <w:r w:rsidRPr="00211EC3">
        <w:rPr>
          <w:bCs/>
        </w:rPr>
        <w:t>Progress made in attaining the goals of the wellness policy.</w:t>
      </w:r>
    </w:p>
    <w:p w14:paraId="30097813" w14:textId="3CB0B8D8" w:rsidR="009C6D22" w:rsidRDefault="009C6D22" w:rsidP="009C6D22">
      <w:pPr>
        <w:rPr>
          <w:bCs/>
        </w:rPr>
      </w:pPr>
      <w:r w:rsidRPr="00211EC3">
        <w:rPr>
          <w:bCs/>
        </w:rPr>
        <w:t>School districts should be ready to share this documentation with their state agencies.</w:t>
      </w:r>
    </w:p>
    <w:p w14:paraId="4CC91027" w14:textId="77777777" w:rsidR="004E7AFE" w:rsidRPr="004E7AFE" w:rsidRDefault="004E7AFE" w:rsidP="004E7AFE">
      <w:pPr>
        <w:rPr>
          <w:bCs/>
        </w:rPr>
      </w:pPr>
      <w:r w:rsidRPr="004E7AFE">
        <w:rPr>
          <w:bCs/>
        </w:rPr>
        <w:lastRenderedPageBreak/>
        <w:t>So how can school districts measure wellness policy implementation?</w:t>
      </w:r>
    </w:p>
    <w:p w14:paraId="409142E5" w14:textId="77777777" w:rsidR="004E7AFE" w:rsidRDefault="004E7AFE" w:rsidP="004E7AFE">
      <w:pPr>
        <w:rPr>
          <w:bCs/>
        </w:rPr>
      </w:pPr>
    </w:p>
    <w:p w14:paraId="26F25141" w14:textId="77777777" w:rsidR="004E7AFE" w:rsidRDefault="004E7AFE" w:rsidP="004E7AFE">
      <w:pPr>
        <w:rPr>
          <w:bCs/>
        </w:rPr>
      </w:pPr>
      <w:r w:rsidRPr="004E7AFE">
        <w:rPr>
          <w:bCs/>
        </w:rPr>
        <w:t xml:space="preserve">Some state agencies and school districts have created templates for school districts to use, but there is no national tool to help districts and schools assess the relationship between district-level policies and school-level practices. </w:t>
      </w:r>
    </w:p>
    <w:p w14:paraId="35A9295E" w14:textId="77777777" w:rsidR="004E7AFE" w:rsidRDefault="004E7AFE" w:rsidP="004E7AFE">
      <w:pPr>
        <w:rPr>
          <w:bCs/>
        </w:rPr>
      </w:pPr>
    </w:p>
    <w:p w14:paraId="1917E53C" w14:textId="3924038E" w:rsidR="009C6D22" w:rsidRDefault="004E7AFE" w:rsidP="004E7AFE">
      <w:pPr>
        <w:rPr>
          <w:bCs/>
        </w:rPr>
      </w:pPr>
      <w:r w:rsidRPr="004E7AFE">
        <w:rPr>
          <w:bCs/>
        </w:rPr>
        <w:t xml:space="preserve">Recognizing this gap, CDC worked with UCONN Rudd Center to create an online assessment to help districts and schools with this process using two existing online assessment tools: the </w:t>
      </w:r>
      <w:proofErr w:type="spellStart"/>
      <w:r w:rsidRPr="004E7AFE">
        <w:rPr>
          <w:bCs/>
        </w:rPr>
        <w:t>WellSAT</w:t>
      </w:r>
      <w:proofErr w:type="spellEnd"/>
      <w:r w:rsidRPr="004E7AFE">
        <w:rPr>
          <w:bCs/>
        </w:rPr>
        <w:t xml:space="preserve"> 3.0, which assesses the strength of district wellness policies, and CDC’s School Health Index, which helps schools assess their school health practices.</w:t>
      </w:r>
    </w:p>
    <w:p w14:paraId="0B642F70" w14:textId="77777777" w:rsidR="004E7AFE" w:rsidRDefault="004E7AFE" w:rsidP="004E7AFE">
      <w:pPr>
        <w:rPr>
          <w:bCs/>
        </w:rPr>
      </w:pPr>
    </w:p>
    <w:p w14:paraId="3A1EC04D" w14:textId="77777777" w:rsidR="006C2507" w:rsidRPr="00F87B2B" w:rsidRDefault="006C2507" w:rsidP="006C2507">
      <w:r w:rsidRPr="00F87B2B">
        <w:t>The new tool is called the Wellness Polic</w:t>
      </w:r>
      <w:r>
        <w:t>y</w:t>
      </w:r>
      <w:r w:rsidRPr="00F87B2B">
        <w:t xml:space="preserve"> in Action Tool</w:t>
      </w:r>
      <w:r>
        <w:t xml:space="preserve"> or WPAT. </w:t>
      </w:r>
      <w:r w:rsidRPr="00F87B2B">
        <w:t xml:space="preserve">This </w:t>
      </w:r>
      <w:r>
        <w:t xml:space="preserve">tool </w:t>
      </w:r>
      <w:r w:rsidRPr="00F87B2B">
        <w:t>can help districts:</w:t>
      </w:r>
    </w:p>
    <w:p w14:paraId="48C42E14" w14:textId="77777777" w:rsidR="006C2507" w:rsidRPr="00F87B2B" w:rsidRDefault="006C2507" w:rsidP="006C2507">
      <w:pPr>
        <w:numPr>
          <w:ilvl w:val="0"/>
          <w:numId w:val="2"/>
        </w:numPr>
      </w:pPr>
      <w:r w:rsidRPr="00F87B2B">
        <w:t>Understand if the wellness policy is consistently implemented in schools across the district.</w:t>
      </w:r>
    </w:p>
    <w:p w14:paraId="29288285" w14:textId="77777777" w:rsidR="006C2507" w:rsidRPr="00F87B2B" w:rsidRDefault="006C2507" w:rsidP="006C2507">
      <w:pPr>
        <w:numPr>
          <w:ilvl w:val="0"/>
          <w:numId w:val="2"/>
        </w:numPr>
      </w:pPr>
      <w:r w:rsidRPr="00F87B2B">
        <w:t>Determine if schools are already implementing practices that could be incorporated into the district policy.</w:t>
      </w:r>
    </w:p>
    <w:p w14:paraId="1812C34F" w14:textId="77777777" w:rsidR="006C2507" w:rsidRDefault="006C2507" w:rsidP="006C2507"/>
    <w:p w14:paraId="1223E636" w14:textId="0641742E" w:rsidR="006C2507" w:rsidRPr="00F87B2B" w:rsidRDefault="006C2507" w:rsidP="006C2507">
      <w:r w:rsidRPr="00F87B2B">
        <w:t>Schools can use WPAT to see how their school nutrition and physical activity practices align with their district’s local school wellness policy. This information can help schools:</w:t>
      </w:r>
    </w:p>
    <w:p w14:paraId="06435A72" w14:textId="77777777" w:rsidR="006C2507" w:rsidRPr="00F87B2B" w:rsidRDefault="006C2507" w:rsidP="006C2507">
      <w:pPr>
        <w:numPr>
          <w:ilvl w:val="0"/>
          <w:numId w:val="3"/>
        </w:numPr>
      </w:pPr>
      <w:r w:rsidRPr="00F87B2B">
        <w:t>Identify where implementation plans are needed to ensure that practices are consistent with current policies.</w:t>
      </w:r>
    </w:p>
    <w:p w14:paraId="60F17D10" w14:textId="77777777" w:rsidR="006C2507" w:rsidRPr="00F87B2B" w:rsidRDefault="006C2507" w:rsidP="006C2507">
      <w:pPr>
        <w:numPr>
          <w:ilvl w:val="0"/>
          <w:numId w:val="3"/>
        </w:numPr>
      </w:pPr>
      <w:r w:rsidRPr="00F87B2B">
        <w:t>Share current practices that can be incorporated into the district policy.</w:t>
      </w:r>
    </w:p>
    <w:p w14:paraId="2B57AAC0" w14:textId="77777777" w:rsidR="006C2507" w:rsidRPr="00F87B2B" w:rsidRDefault="006C2507" w:rsidP="006C2507">
      <w:pPr>
        <w:numPr>
          <w:ilvl w:val="0"/>
          <w:numId w:val="3"/>
        </w:numPr>
      </w:pPr>
      <w:r w:rsidRPr="00F87B2B">
        <w:t>Identify opportunities for new nutrition and physical activity practices to work toward.</w:t>
      </w:r>
    </w:p>
    <w:p w14:paraId="556B0A2C" w14:textId="77777777" w:rsidR="006C2507" w:rsidRDefault="006C2507" w:rsidP="006C2507"/>
    <w:p w14:paraId="4607F3BF" w14:textId="22DB62D3" w:rsidR="006C2507" w:rsidRPr="009C6D22" w:rsidRDefault="006C2507" w:rsidP="006C2507">
      <w:pPr>
        <w:rPr>
          <w:bCs/>
        </w:rPr>
      </w:pPr>
      <w:r w:rsidRPr="00F87B2B">
        <w:t>In the next few modules, we will take a closer look at the WPAT</w:t>
      </w:r>
      <w:r>
        <w:t>,</w:t>
      </w:r>
      <w:r w:rsidRPr="00F87B2B">
        <w:t xml:space="preserve"> including how to create an account, how to complete the assessment, and how to interpret and use the results.</w:t>
      </w:r>
    </w:p>
    <w:sectPr w:rsidR="006C2507" w:rsidRPr="009C6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4911"/>
    <w:multiLevelType w:val="hybridMultilevel"/>
    <w:tmpl w:val="85965E7A"/>
    <w:lvl w:ilvl="0" w:tplc="005C2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4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0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41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A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5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4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7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BC7FD3"/>
    <w:multiLevelType w:val="hybridMultilevel"/>
    <w:tmpl w:val="185CFBEA"/>
    <w:lvl w:ilvl="0" w:tplc="0250F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80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A1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2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C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02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C9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62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2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9409EB"/>
    <w:multiLevelType w:val="hybridMultilevel"/>
    <w:tmpl w:val="4948C58C"/>
    <w:lvl w:ilvl="0" w:tplc="06E2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2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08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E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E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5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8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5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7860834">
    <w:abstractNumId w:val="1"/>
  </w:num>
  <w:num w:numId="2" w16cid:durableId="645087353">
    <w:abstractNumId w:val="0"/>
  </w:num>
  <w:num w:numId="3" w16cid:durableId="62700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6"/>
    <w:rsid w:val="000B2004"/>
    <w:rsid w:val="00350177"/>
    <w:rsid w:val="00427D69"/>
    <w:rsid w:val="004E7AFE"/>
    <w:rsid w:val="006C2507"/>
    <w:rsid w:val="00707B52"/>
    <w:rsid w:val="007F2BB7"/>
    <w:rsid w:val="00824C66"/>
    <w:rsid w:val="009C6D22"/>
    <w:rsid w:val="00A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C97F"/>
  <w15:chartTrackingRefBased/>
  <w15:docId w15:val="{494BF57A-1BCD-474A-9C37-1E6817E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77"/>
    <w:pPr>
      <w:spacing w:after="4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8C488CDB2E4783CCB926682A3369" ma:contentTypeVersion="16" ma:contentTypeDescription="Create a new document." ma:contentTypeScope="" ma:versionID="6ba2db14da5c4fcced3dfa96d085508f">
  <xsd:schema xmlns:xsd="http://www.w3.org/2001/XMLSchema" xmlns:xs="http://www.w3.org/2001/XMLSchema" xmlns:p="http://schemas.microsoft.com/office/2006/metadata/properties" xmlns:ns2="db76390e-f4cf-41d2-93e5-461b3cd39f49" xmlns:ns3="b27b2023-8ed1-407e-98c0-00a3c2dd3c8a" targetNamespace="http://schemas.microsoft.com/office/2006/metadata/properties" ma:root="true" ma:fieldsID="e0c39dc6d2019d0d1123cb33be905023" ns2:_="" ns3:_="">
    <xsd:import namespace="db76390e-f4cf-41d2-93e5-461b3cd39f49"/>
    <xsd:import namespace="b27b2023-8ed1-407e-98c0-00a3c2dd3c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9e15f2-264d-4517-8581-d186da684ec3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023-8ed1-407e-98c0-00a3c2dd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76390e-f4cf-41d2-93e5-461b3cd39f49">D6Y6PZP3QQNH-1333000436-9332</_dlc_DocId>
    <TaxCatchAll xmlns="db76390e-f4cf-41d2-93e5-461b3cd39f49" xsi:nil="true"/>
    <lcf76f155ced4ddcb4097134ff3c332f xmlns="b27b2023-8ed1-407e-98c0-00a3c2dd3c8a">
      <Terms xmlns="http://schemas.microsoft.com/office/infopath/2007/PartnerControls"/>
    </lcf76f155ced4ddcb4097134ff3c332f>
    <_dlc_DocIdUrl xmlns="db76390e-f4cf-41d2-93e5-461b3cd39f49">
      <Url>https://cdc.sharepoint.com/teams/NCCDPHP-DPH-SHB/_layouts/15/DocIdRedir.aspx?ID=D6Y6PZP3QQNH-1333000436-9332</Url>
      <Description>D6Y6PZP3QQNH-1333000436-9332</Description>
    </_dlc_DocIdUrl>
  </documentManagement>
</p:properties>
</file>

<file path=customXml/itemProps1.xml><?xml version="1.0" encoding="utf-8"?>
<ds:datastoreItem xmlns:ds="http://schemas.openxmlformats.org/officeDocument/2006/customXml" ds:itemID="{107C54DF-B3FC-4578-BD3B-2608C84BCC0C}"/>
</file>

<file path=customXml/itemProps2.xml><?xml version="1.0" encoding="utf-8"?>
<ds:datastoreItem xmlns:ds="http://schemas.openxmlformats.org/officeDocument/2006/customXml" ds:itemID="{C1631625-48EC-45E3-BCAE-37F077B4E96F}"/>
</file>

<file path=customXml/itemProps3.xml><?xml version="1.0" encoding="utf-8"?>
<ds:datastoreItem xmlns:ds="http://schemas.openxmlformats.org/officeDocument/2006/customXml" ds:itemID="{69816367-28C0-432E-9128-8BEEE0E7EB01}"/>
</file>

<file path=customXml/itemProps4.xml><?xml version="1.0" encoding="utf-8"?>
<ds:datastoreItem xmlns:ds="http://schemas.openxmlformats.org/officeDocument/2006/customXml" ds:itemID="{AD0F1DEE-98A6-46F4-8757-00455D33A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Merlo, Caitlin L. (CDC/DDNID/NCCDPHP/DPH)</dc:creator>
  <cp:keywords/>
  <dc:description/>
  <cp:lastModifiedBy>Merlo, Caitlin L. (CDC/DDNID/NCCDPHP/DPH)</cp:lastModifiedBy>
  <cp:revision>8</cp:revision>
  <dcterms:created xsi:type="dcterms:W3CDTF">2023-09-25T20:25:00Z</dcterms:created>
  <dcterms:modified xsi:type="dcterms:W3CDTF">2023-09-25T20:30:00Z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2023-09-25T20:27:00Z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73dc8340-9b77-4670-b3ed-d51f98b24f23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0x01010032428C488CDB2E4783CCB926682A3369</vt:lpwstr>
  </property>
  <property fmtid="{D5CDD505-2E9C-101B-9397-08002B2CF9AE}" pid="10" name="_dlc_DocIdItemGuid">
    <vt:lpwstr>2be560d0-d319-45fd-ab93-00e72e4c6013</vt:lpwstr>
  </property>
</Properties>
</file>