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3731" w14:textId="77777777" w:rsidR="00323152" w:rsidRPr="006C26B1" w:rsidRDefault="00323152" w:rsidP="00323152">
      <w:pPr>
        <w:rPr>
          <w:rFonts w:cstheme="minorHAnsi"/>
        </w:rPr>
      </w:pPr>
      <w:r w:rsidRPr="006C26B1">
        <w:rPr>
          <w:rFonts w:cstheme="minorHAnsi"/>
        </w:rPr>
        <w:t>Transcript below.</w:t>
      </w:r>
    </w:p>
    <w:p w14:paraId="714556B7" w14:textId="40DD9071" w:rsidR="00323152" w:rsidRDefault="00323152" w:rsidP="00323152">
      <w:pPr>
        <w:rPr>
          <w:rFonts w:cstheme="minorHAnsi"/>
        </w:rPr>
      </w:pPr>
      <w:r w:rsidRPr="006C26B1">
        <w:rPr>
          <w:rFonts w:cstheme="minorHAnsi"/>
        </w:rPr>
        <w:t xml:space="preserve">Title: </w:t>
      </w:r>
      <w:r w:rsidR="00273225" w:rsidRPr="00273225">
        <w:rPr>
          <w:rFonts w:cstheme="minorHAnsi"/>
        </w:rPr>
        <w:t>CDC and Nigeria partner to increase COVID-19 vaccination</w:t>
      </w:r>
    </w:p>
    <w:p w14:paraId="4C9D0F42" w14:textId="0787A57B" w:rsidR="00BB2711" w:rsidRDefault="00BB2711" w:rsidP="00323152">
      <w:pPr>
        <w:rPr>
          <w:rFonts w:cstheme="minorHAnsi"/>
        </w:rPr>
      </w:pPr>
      <w:r w:rsidRPr="005426D9">
        <w:rPr>
          <w:rFonts w:cstheme="minorHAnsi"/>
        </w:rPr>
        <w:t>On-screen</w:t>
      </w:r>
      <w:r w:rsidRPr="005426D9">
        <w:rPr>
          <w:rFonts w:cstheme="minorHAnsi"/>
          <w:spacing w:val="-6"/>
        </w:rPr>
        <w:t xml:space="preserve"> </w:t>
      </w:r>
      <w:r w:rsidRPr="005426D9">
        <w:rPr>
          <w:rFonts w:cstheme="minorHAnsi"/>
        </w:rPr>
        <w:t>graphic:</w:t>
      </w:r>
      <w:r w:rsidRPr="005426D9">
        <w:rPr>
          <w:rFonts w:cstheme="minorHAnsi"/>
          <w:spacing w:val="-6"/>
        </w:rPr>
        <w:t xml:space="preserve"> </w:t>
      </w:r>
      <w:r w:rsidRPr="005426D9">
        <w:rPr>
          <w:rFonts w:cstheme="minorHAnsi"/>
        </w:rPr>
        <w:t>Centers</w:t>
      </w:r>
      <w:r w:rsidRPr="005426D9">
        <w:rPr>
          <w:rFonts w:cstheme="minorHAnsi"/>
          <w:spacing w:val="-6"/>
        </w:rPr>
        <w:t xml:space="preserve"> </w:t>
      </w:r>
      <w:r w:rsidRPr="005426D9">
        <w:rPr>
          <w:rFonts w:cstheme="minorHAnsi"/>
        </w:rPr>
        <w:t>for</w:t>
      </w:r>
      <w:r w:rsidRPr="005426D9">
        <w:rPr>
          <w:rFonts w:cstheme="minorHAnsi"/>
          <w:spacing w:val="-6"/>
        </w:rPr>
        <w:t xml:space="preserve"> </w:t>
      </w:r>
      <w:r w:rsidRPr="005426D9">
        <w:rPr>
          <w:rFonts w:cstheme="minorHAnsi"/>
        </w:rPr>
        <w:t>Disease</w:t>
      </w:r>
      <w:r w:rsidRPr="005426D9">
        <w:rPr>
          <w:rFonts w:cstheme="minorHAnsi"/>
          <w:spacing w:val="-6"/>
        </w:rPr>
        <w:t xml:space="preserve"> </w:t>
      </w:r>
      <w:r w:rsidRPr="005426D9">
        <w:rPr>
          <w:rFonts w:cstheme="minorHAnsi"/>
        </w:rPr>
        <w:t>Control</w:t>
      </w:r>
      <w:r w:rsidRPr="005426D9">
        <w:rPr>
          <w:rFonts w:cstheme="minorHAnsi"/>
          <w:spacing w:val="-6"/>
        </w:rPr>
        <w:t xml:space="preserve"> </w:t>
      </w:r>
      <w:r w:rsidRPr="005426D9">
        <w:rPr>
          <w:rFonts w:cstheme="minorHAnsi"/>
        </w:rPr>
        <w:t>and</w:t>
      </w:r>
      <w:r w:rsidRPr="005426D9">
        <w:rPr>
          <w:rFonts w:cstheme="minorHAnsi"/>
          <w:spacing w:val="-6"/>
        </w:rPr>
        <w:t xml:space="preserve"> </w:t>
      </w:r>
      <w:r w:rsidRPr="005426D9">
        <w:rPr>
          <w:rFonts w:cstheme="minorHAnsi"/>
        </w:rPr>
        <w:t>Prevention</w:t>
      </w:r>
      <w:r w:rsidRPr="005426D9">
        <w:rPr>
          <w:rFonts w:cstheme="minorHAnsi"/>
          <w:spacing w:val="-6"/>
        </w:rPr>
        <w:t xml:space="preserve"> </w:t>
      </w:r>
      <w:r w:rsidRPr="005426D9">
        <w:rPr>
          <w:rFonts w:cstheme="minorHAnsi"/>
        </w:rPr>
        <w:t>and</w:t>
      </w:r>
      <w:r w:rsidRPr="005426D9">
        <w:rPr>
          <w:rFonts w:cstheme="minorHAnsi"/>
          <w:spacing w:val="-6"/>
        </w:rPr>
        <w:t xml:space="preserve"> </w:t>
      </w:r>
      <w:r w:rsidRPr="005426D9">
        <w:rPr>
          <w:rFonts w:cstheme="minorHAnsi"/>
        </w:rPr>
        <w:t>Health</w:t>
      </w:r>
      <w:r w:rsidRPr="005426D9">
        <w:rPr>
          <w:rFonts w:cstheme="minorHAnsi"/>
          <w:spacing w:val="-6"/>
        </w:rPr>
        <w:t xml:space="preserve"> </w:t>
      </w:r>
      <w:r w:rsidRPr="005426D9">
        <w:rPr>
          <w:rFonts w:cstheme="minorHAnsi"/>
        </w:rPr>
        <w:t>and</w:t>
      </w:r>
      <w:r w:rsidRPr="005426D9">
        <w:rPr>
          <w:rFonts w:cstheme="minorHAnsi"/>
          <w:spacing w:val="-6"/>
        </w:rPr>
        <w:t xml:space="preserve"> </w:t>
      </w:r>
      <w:r w:rsidRPr="005426D9">
        <w:rPr>
          <w:rFonts w:cstheme="minorHAnsi"/>
        </w:rPr>
        <w:t>Human</w:t>
      </w:r>
      <w:r w:rsidRPr="005426D9">
        <w:rPr>
          <w:rFonts w:cstheme="minorHAnsi"/>
          <w:spacing w:val="-6"/>
        </w:rPr>
        <w:t xml:space="preserve"> </w:t>
      </w:r>
      <w:r w:rsidRPr="005426D9">
        <w:rPr>
          <w:rFonts w:cstheme="minorHAnsi"/>
        </w:rPr>
        <w:t>Services</w:t>
      </w:r>
      <w:r w:rsidRPr="005426D9">
        <w:rPr>
          <w:rFonts w:cstheme="minorHAnsi"/>
          <w:spacing w:val="-6"/>
        </w:rPr>
        <w:t xml:space="preserve"> </w:t>
      </w:r>
      <w:r w:rsidRPr="005426D9">
        <w:rPr>
          <w:rFonts w:cstheme="minorHAnsi"/>
        </w:rPr>
        <w:t>logo</w:t>
      </w:r>
    </w:p>
    <w:p w14:paraId="79E42058" w14:textId="0481B108" w:rsidR="00EC56AF" w:rsidRPr="006C26B1" w:rsidRDefault="00EC56AF" w:rsidP="00323152">
      <w:pPr>
        <w:rPr>
          <w:rFonts w:cstheme="minorHAnsi"/>
        </w:rPr>
      </w:pPr>
      <w:r w:rsidRPr="006C26B1">
        <w:rPr>
          <w:rFonts w:cstheme="minorHAnsi"/>
        </w:rPr>
        <w:t xml:space="preserve">On-screen text: </w:t>
      </w:r>
      <w:r>
        <w:rPr>
          <w:rFonts w:cstheme="minorHAnsi"/>
        </w:rPr>
        <w:t>U.S. Department of Health and Human Services</w:t>
      </w:r>
      <w:r w:rsidR="00393C7F">
        <w:rPr>
          <w:rFonts w:cstheme="minorHAnsi"/>
        </w:rPr>
        <w:t xml:space="preserve"> </w:t>
      </w:r>
      <w:r w:rsidR="00393C7F" w:rsidRPr="005426D9">
        <w:rPr>
          <w:rFonts w:cstheme="minorHAnsi"/>
        </w:rPr>
        <w:t>Centers</w:t>
      </w:r>
      <w:r w:rsidR="00393C7F" w:rsidRPr="005426D9">
        <w:rPr>
          <w:rFonts w:cstheme="minorHAnsi"/>
          <w:spacing w:val="-6"/>
        </w:rPr>
        <w:t xml:space="preserve"> </w:t>
      </w:r>
      <w:r w:rsidR="00393C7F" w:rsidRPr="005426D9">
        <w:rPr>
          <w:rFonts w:cstheme="minorHAnsi"/>
        </w:rPr>
        <w:t>for</w:t>
      </w:r>
      <w:r w:rsidR="00393C7F" w:rsidRPr="005426D9">
        <w:rPr>
          <w:rFonts w:cstheme="minorHAnsi"/>
          <w:spacing w:val="-6"/>
        </w:rPr>
        <w:t xml:space="preserve"> </w:t>
      </w:r>
      <w:r w:rsidR="00393C7F" w:rsidRPr="005426D9">
        <w:rPr>
          <w:rFonts w:cstheme="minorHAnsi"/>
        </w:rPr>
        <w:t>Disease</w:t>
      </w:r>
      <w:r w:rsidR="00393C7F" w:rsidRPr="005426D9">
        <w:rPr>
          <w:rFonts w:cstheme="minorHAnsi"/>
          <w:spacing w:val="-6"/>
        </w:rPr>
        <w:t xml:space="preserve"> </w:t>
      </w:r>
      <w:r w:rsidR="00393C7F" w:rsidRPr="005426D9">
        <w:rPr>
          <w:rFonts w:cstheme="minorHAnsi"/>
        </w:rPr>
        <w:t>Control</w:t>
      </w:r>
      <w:r w:rsidR="00393C7F" w:rsidRPr="005426D9">
        <w:rPr>
          <w:rFonts w:cstheme="minorHAnsi"/>
          <w:spacing w:val="-6"/>
        </w:rPr>
        <w:t xml:space="preserve"> </w:t>
      </w:r>
      <w:r w:rsidR="00393C7F" w:rsidRPr="005426D9">
        <w:rPr>
          <w:rFonts w:cstheme="minorHAnsi"/>
        </w:rPr>
        <w:t>and</w:t>
      </w:r>
      <w:r w:rsidR="00393C7F" w:rsidRPr="005426D9">
        <w:rPr>
          <w:rFonts w:cstheme="minorHAnsi"/>
          <w:spacing w:val="-6"/>
        </w:rPr>
        <w:t xml:space="preserve"> </w:t>
      </w:r>
      <w:r w:rsidR="00393C7F" w:rsidRPr="005426D9">
        <w:rPr>
          <w:rFonts w:cstheme="minorHAnsi"/>
        </w:rPr>
        <w:t>Prevention</w:t>
      </w:r>
    </w:p>
    <w:p w14:paraId="0C8992FE" w14:textId="2574A588" w:rsidR="00A85A8B" w:rsidRPr="006C26B1" w:rsidRDefault="00323152">
      <w:pPr>
        <w:rPr>
          <w:rFonts w:cstheme="minorHAnsi"/>
        </w:rPr>
      </w:pPr>
      <w:r w:rsidRPr="006C26B1">
        <w:rPr>
          <w:rFonts w:cstheme="minorHAnsi"/>
        </w:rPr>
        <w:t>On-screen text: CDC Increases Access, Uptake of COVID-19 Vaccines in Nigeria</w:t>
      </w:r>
    </w:p>
    <w:p w14:paraId="5926694D" w14:textId="648621F6" w:rsidR="000627F5" w:rsidRPr="006C26B1" w:rsidRDefault="000627F5" w:rsidP="000627F5">
      <w:pPr>
        <w:rPr>
          <w:rFonts w:cstheme="minorHAnsi"/>
          <w:i/>
          <w:iCs/>
        </w:rPr>
      </w:pPr>
      <w:r w:rsidRPr="006C26B1">
        <w:rPr>
          <w:rFonts w:cstheme="minorHAnsi"/>
          <w:b/>
          <w:bCs/>
          <w:i/>
          <w:iCs/>
        </w:rPr>
        <w:t xml:space="preserve">Dr. </w:t>
      </w:r>
      <w:proofErr w:type="spellStart"/>
      <w:r w:rsidRPr="006C26B1">
        <w:rPr>
          <w:rFonts w:cstheme="minorHAnsi"/>
          <w:b/>
          <w:bCs/>
          <w:i/>
          <w:iCs/>
        </w:rPr>
        <w:t>Ifedayo</w:t>
      </w:r>
      <w:proofErr w:type="spellEnd"/>
      <w:r w:rsidRPr="006C26B1">
        <w:rPr>
          <w:rFonts w:cstheme="minorHAnsi"/>
          <w:b/>
          <w:bCs/>
          <w:i/>
          <w:iCs/>
        </w:rPr>
        <w:t xml:space="preserve"> </w:t>
      </w:r>
      <w:proofErr w:type="spellStart"/>
      <w:r w:rsidRPr="006C26B1">
        <w:rPr>
          <w:rFonts w:cstheme="minorHAnsi"/>
          <w:b/>
          <w:bCs/>
          <w:i/>
          <w:iCs/>
        </w:rPr>
        <w:t>Adetifa</w:t>
      </w:r>
      <w:proofErr w:type="spellEnd"/>
      <w:r w:rsidRPr="006C26B1">
        <w:rPr>
          <w:rFonts w:cstheme="minorHAnsi"/>
          <w:b/>
          <w:bCs/>
          <w:i/>
          <w:iCs/>
        </w:rPr>
        <w:t>, Director General, Nigeria Center for Disease Control</w:t>
      </w:r>
      <w:r w:rsidR="006C26B1" w:rsidRPr="006C26B1">
        <w:rPr>
          <w:rFonts w:cstheme="minorHAnsi"/>
          <w:b/>
          <w:bCs/>
          <w:i/>
          <w:iCs/>
        </w:rPr>
        <w:t xml:space="preserve"> says</w:t>
      </w:r>
      <w:r w:rsidRPr="006C26B1">
        <w:rPr>
          <w:rFonts w:cstheme="minorHAnsi"/>
          <w:b/>
          <w:bCs/>
          <w:i/>
          <w:iCs/>
        </w:rPr>
        <w:t>:</w:t>
      </w:r>
      <w:r w:rsidRPr="006C26B1">
        <w:rPr>
          <w:rFonts w:cstheme="minorHAnsi"/>
          <w:i/>
          <w:iCs/>
        </w:rPr>
        <w:t xml:space="preserve"> COVID highlighted the vulnerabilities in countries even in the strong ones and showed that we cannot respond to a pandemic without concerted or collaborative, coordinated effort.</w:t>
      </w:r>
    </w:p>
    <w:p w14:paraId="78D54B90" w14:textId="4488A7C2" w:rsidR="00E94419" w:rsidRPr="006C26B1" w:rsidRDefault="00E94419" w:rsidP="00E94419">
      <w:pPr>
        <w:rPr>
          <w:rFonts w:cstheme="minorHAnsi"/>
          <w:i/>
          <w:iCs/>
        </w:rPr>
      </w:pPr>
      <w:r w:rsidRPr="006C26B1">
        <w:rPr>
          <w:rFonts w:cstheme="minorHAnsi"/>
          <w:b/>
          <w:bCs/>
          <w:i/>
          <w:iCs/>
        </w:rPr>
        <w:t>Dr. Faisal Shuaib, Executive Director, National Primary Healthcare Development Agency</w:t>
      </w:r>
      <w:r w:rsidR="006C26B1" w:rsidRPr="006C26B1">
        <w:rPr>
          <w:rFonts w:cstheme="minorHAnsi"/>
          <w:b/>
          <w:bCs/>
          <w:i/>
          <w:iCs/>
        </w:rPr>
        <w:t xml:space="preserve"> says</w:t>
      </w:r>
      <w:r w:rsidRPr="006C26B1">
        <w:rPr>
          <w:rFonts w:cstheme="minorHAnsi"/>
          <w:b/>
          <w:bCs/>
          <w:i/>
          <w:iCs/>
        </w:rPr>
        <w:t>:</w:t>
      </w:r>
      <w:r w:rsidRPr="006C26B1">
        <w:rPr>
          <w:rFonts w:cstheme="minorHAnsi"/>
          <w:i/>
          <w:iCs/>
        </w:rPr>
        <w:t xml:space="preserve"> Right from Day 1, the U.S. CDC, USAID U.S. </w:t>
      </w:r>
      <w:proofErr w:type="gramStart"/>
      <w:r w:rsidRPr="006C26B1">
        <w:rPr>
          <w:rFonts w:cstheme="minorHAnsi"/>
          <w:i/>
          <w:iCs/>
        </w:rPr>
        <w:t>Government as a whole, stood</w:t>
      </w:r>
      <w:proofErr w:type="gramEnd"/>
      <w:r w:rsidRPr="006C26B1">
        <w:rPr>
          <w:rFonts w:cstheme="minorHAnsi"/>
          <w:i/>
          <w:iCs/>
        </w:rPr>
        <w:t>, you know, side-by-side with the Nigerian government in planning out and actually implementing that response, whether it was in terms of building capacity, the financial support. Specifically, the U.S. Government also donated millions of doses of COVID-19 vaccines. But apart from donating these vaccines, the U.S. Government was also involved at national and sub-national level with the distribution of these vaccines.</w:t>
      </w:r>
    </w:p>
    <w:p w14:paraId="2826FF76" w14:textId="67F961DA" w:rsidR="00CB7810" w:rsidRPr="006C26B1" w:rsidRDefault="00CB7810" w:rsidP="00CB7810">
      <w:pPr>
        <w:rPr>
          <w:rFonts w:cstheme="minorHAnsi"/>
        </w:rPr>
      </w:pPr>
      <w:r w:rsidRPr="006C26B1">
        <w:rPr>
          <w:rFonts w:cstheme="minorHAnsi"/>
          <w:b/>
          <w:bCs/>
          <w:i/>
          <w:iCs/>
        </w:rPr>
        <w:t>Dr. Omotayo</w:t>
      </w:r>
      <w:r w:rsidR="003D17BD">
        <w:rPr>
          <w:rFonts w:cstheme="minorHAnsi"/>
          <w:b/>
          <w:bCs/>
          <w:i/>
          <w:iCs/>
        </w:rPr>
        <w:t xml:space="preserve"> </w:t>
      </w:r>
      <w:proofErr w:type="spellStart"/>
      <w:r w:rsidR="003D17BD" w:rsidRPr="006C26B1">
        <w:rPr>
          <w:rFonts w:cstheme="minorHAnsi"/>
          <w:b/>
          <w:bCs/>
          <w:i/>
          <w:iCs/>
        </w:rPr>
        <w:t>Bolu</w:t>
      </w:r>
      <w:proofErr w:type="spellEnd"/>
      <w:r w:rsidRPr="006C26B1">
        <w:rPr>
          <w:rFonts w:cstheme="minorHAnsi"/>
          <w:b/>
          <w:bCs/>
          <w:i/>
          <w:iCs/>
        </w:rPr>
        <w:t>, Program Director, Global Immunization Division Program-Nigeria</w:t>
      </w:r>
      <w:r w:rsidR="006C26B1" w:rsidRPr="006C26B1">
        <w:rPr>
          <w:rFonts w:cstheme="minorHAnsi"/>
          <w:b/>
          <w:bCs/>
          <w:i/>
          <w:iCs/>
        </w:rPr>
        <w:t xml:space="preserve"> says</w:t>
      </w:r>
      <w:r w:rsidRPr="006C26B1">
        <w:rPr>
          <w:rFonts w:cstheme="minorHAnsi"/>
          <w:b/>
          <w:bCs/>
        </w:rPr>
        <w:t>:</w:t>
      </w:r>
      <w:r w:rsidRPr="006C26B1">
        <w:rPr>
          <w:rFonts w:cstheme="minorHAnsi"/>
        </w:rPr>
        <w:t xml:space="preserve"> The U.S. CDC in Nigeria has contributed significantly on many fronts to the COVID-19 vaccination plans and rollout. The teams at CDC worked with the Government of Nigeria to determine how vaccines would come in, how they would be distributed, what states would get what vaccines, and in what quantities.</w:t>
      </w:r>
    </w:p>
    <w:p w14:paraId="06CBA495" w14:textId="1B92D883" w:rsidR="00513E32" w:rsidRPr="006C26B1" w:rsidRDefault="00513E32" w:rsidP="00513E32">
      <w:pPr>
        <w:rPr>
          <w:rFonts w:cstheme="minorHAnsi"/>
        </w:rPr>
      </w:pPr>
      <w:r w:rsidRPr="006C26B1">
        <w:rPr>
          <w:rFonts w:cstheme="minorHAnsi"/>
          <w:b/>
          <w:bCs/>
          <w:i/>
          <w:iCs/>
        </w:rPr>
        <w:t>Mary Beth Leonard, US Ambassador to Nigeria</w:t>
      </w:r>
      <w:r w:rsidR="006C26B1" w:rsidRPr="006C26B1">
        <w:rPr>
          <w:rFonts w:cstheme="minorHAnsi"/>
          <w:b/>
          <w:bCs/>
          <w:i/>
          <w:iCs/>
        </w:rPr>
        <w:t xml:space="preserve"> says</w:t>
      </w:r>
      <w:r w:rsidRPr="006C26B1">
        <w:rPr>
          <w:rFonts w:cstheme="minorHAnsi"/>
          <w:b/>
          <w:bCs/>
          <w:i/>
          <w:iCs/>
        </w:rPr>
        <w:t>:</w:t>
      </w:r>
      <w:r w:rsidRPr="006C26B1">
        <w:rPr>
          <w:rFonts w:cstheme="minorHAnsi"/>
          <w:b/>
          <w:bCs/>
        </w:rPr>
        <w:t xml:space="preserve"> </w:t>
      </w:r>
      <w:r w:rsidRPr="006C26B1">
        <w:rPr>
          <w:rFonts w:cstheme="minorHAnsi"/>
        </w:rPr>
        <w:t>So far, I believe we’ve brought in about 27 million vaccines which is the largest number that has come from any single source, and we have about another 12 million coming. With the arrival of the vaccines, we sat together with our Nigerian counterparts to figure out how could we work well and effectively with states to figure out where vaccines needed to go, and how we could best influence residents of those states to come and take their vaccines.</w:t>
      </w:r>
    </w:p>
    <w:p w14:paraId="02B3C6B4" w14:textId="0C6B481C" w:rsidR="001F65BD" w:rsidRPr="006C26B1" w:rsidRDefault="001F65BD" w:rsidP="001F65BD">
      <w:pPr>
        <w:rPr>
          <w:rFonts w:cstheme="minorHAnsi"/>
          <w:i/>
          <w:iCs/>
        </w:rPr>
      </w:pPr>
      <w:r w:rsidRPr="006C26B1">
        <w:rPr>
          <w:rFonts w:cstheme="minorHAnsi"/>
          <w:b/>
          <w:bCs/>
          <w:i/>
          <w:iCs/>
        </w:rPr>
        <w:t>Victoria Nuland, Undersecretary of State for Political Affairs, US Department of State</w:t>
      </w:r>
      <w:r w:rsidR="006C26B1" w:rsidRPr="006C26B1">
        <w:rPr>
          <w:rFonts w:cstheme="minorHAnsi"/>
          <w:b/>
          <w:bCs/>
          <w:i/>
          <w:iCs/>
        </w:rPr>
        <w:t xml:space="preserve"> says</w:t>
      </w:r>
      <w:r w:rsidRPr="006C26B1">
        <w:rPr>
          <w:rFonts w:cstheme="minorHAnsi"/>
          <w:b/>
          <w:bCs/>
          <w:i/>
          <w:iCs/>
        </w:rPr>
        <w:t>:</w:t>
      </w:r>
      <w:r w:rsidRPr="006C26B1">
        <w:rPr>
          <w:rFonts w:cstheme="minorHAnsi"/>
          <w:i/>
          <w:iCs/>
        </w:rPr>
        <w:t xml:space="preserve"> With lots of buses like these, we will go to markets and make the vaccine available to people who otherwise might not have taken the trouble to get vaccinated.</w:t>
      </w:r>
    </w:p>
    <w:p w14:paraId="48689835" w14:textId="15F6C0FC" w:rsidR="00A3639A" w:rsidRPr="006C26B1" w:rsidRDefault="00A3639A" w:rsidP="00A3639A">
      <w:pPr>
        <w:rPr>
          <w:rFonts w:cstheme="minorHAnsi"/>
        </w:rPr>
      </w:pPr>
      <w:r w:rsidRPr="006C26B1">
        <w:rPr>
          <w:rFonts w:cstheme="minorHAnsi"/>
          <w:b/>
          <w:bCs/>
        </w:rPr>
        <w:t>Dr. Rejoice Luka-Lawal, COVID-19 Incident Manger, Nigeria Center for Disease Control</w:t>
      </w:r>
      <w:r w:rsidR="006C26B1" w:rsidRPr="006C26B1">
        <w:rPr>
          <w:rFonts w:cstheme="minorHAnsi"/>
          <w:b/>
          <w:bCs/>
        </w:rPr>
        <w:t xml:space="preserve"> says</w:t>
      </w:r>
      <w:r w:rsidRPr="006C26B1">
        <w:rPr>
          <w:rFonts w:cstheme="minorHAnsi"/>
          <w:b/>
          <w:bCs/>
        </w:rPr>
        <w:t>:</w:t>
      </w:r>
      <w:r w:rsidRPr="006C26B1">
        <w:rPr>
          <w:rFonts w:cstheme="minorHAnsi"/>
        </w:rPr>
        <w:t xml:space="preserve"> We may not be where we want to be, but </w:t>
      </w:r>
      <w:proofErr w:type="gramStart"/>
      <w:r w:rsidRPr="006C26B1">
        <w:rPr>
          <w:rFonts w:cstheme="minorHAnsi"/>
        </w:rPr>
        <w:t>definitely we</w:t>
      </w:r>
      <w:proofErr w:type="gramEnd"/>
      <w:r w:rsidRPr="006C26B1">
        <w:rPr>
          <w:rFonts w:cstheme="minorHAnsi"/>
        </w:rPr>
        <w:t xml:space="preserve"> are not where we were 3 years ago, and this is courtesy of U.S. CDC training on capacity building on technical support. I want to appreciate U.S. CDC for their efforts towards achieving health security in Nigeria.</w:t>
      </w:r>
    </w:p>
    <w:p w14:paraId="06FF0835" w14:textId="279807E7" w:rsidR="00323152" w:rsidRPr="006C26B1" w:rsidRDefault="00F8229A">
      <w:pPr>
        <w:rPr>
          <w:rFonts w:cstheme="minorHAnsi"/>
        </w:rPr>
      </w:pPr>
      <w:r w:rsidRPr="006C26B1">
        <w:rPr>
          <w:rFonts w:cstheme="minorHAnsi"/>
          <w:b/>
          <w:bCs/>
          <w:i/>
          <w:iCs/>
        </w:rPr>
        <w:t>Dr. Mary Boyd, U.S. CDC Country Director-Nigeria</w:t>
      </w:r>
      <w:r w:rsidR="006C26B1" w:rsidRPr="006C26B1">
        <w:rPr>
          <w:rFonts w:cstheme="minorHAnsi"/>
          <w:b/>
          <w:bCs/>
          <w:i/>
          <w:iCs/>
        </w:rPr>
        <w:t xml:space="preserve"> says</w:t>
      </w:r>
      <w:r w:rsidRPr="006C26B1">
        <w:rPr>
          <w:rFonts w:cstheme="minorHAnsi"/>
          <w:b/>
          <w:bCs/>
        </w:rPr>
        <w:t>:</w:t>
      </w:r>
      <w:r w:rsidRPr="006C26B1">
        <w:rPr>
          <w:rFonts w:cstheme="minorHAnsi"/>
        </w:rPr>
        <w:t xml:space="preserve"> In as much as this has been a challenging period, it has also been an opportunity to grow, an opportunity to see what is possible when we put our support to a country that is ready and has a vision to succeed.</w:t>
      </w:r>
    </w:p>
    <w:p w14:paraId="4D0D187E" w14:textId="60546D4E" w:rsidR="00323152" w:rsidRDefault="00323152" w:rsidP="00727094">
      <w:pPr>
        <w:widowControl w:val="0"/>
        <w:autoSpaceDE w:val="0"/>
        <w:autoSpaceDN w:val="0"/>
        <w:spacing w:after="0" w:line="244" w:lineRule="exact"/>
      </w:pPr>
      <w:r w:rsidRPr="006C26B1">
        <w:rPr>
          <w:rFonts w:eastAsia="Calibri" w:cstheme="minorHAnsi"/>
        </w:rPr>
        <w:t>On-screen</w:t>
      </w:r>
      <w:r w:rsidRPr="006C26B1">
        <w:rPr>
          <w:rFonts w:eastAsia="Calibri" w:cstheme="minorHAnsi"/>
          <w:spacing w:val="-11"/>
        </w:rPr>
        <w:t xml:space="preserve"> </w:t>
      </w:r>
      <w:r w:rsidRPr="006C26B1">
        <w:rPr>
          <w:rFonts w:eastAsia="Calibri" w:cstheme="minorHAnsi"/>
        </w:rPr>
        <w:t>text:</w:t>
      </w:r>
      <w:r w:rsidRPr="006C26B1">
        <w:rPr>
          <w:rFonts w:eastAsia="Calibri" w:cstheme="minorHAnsi"/>
          <w:spacing w:val="-11"/>
        </w:rPr>
        <w:t xml:space="preserve"> </w:t>
      </w:r>
      <w:r w:rsidRPr="006C26B1">
        <w:rPr>
          <w:rFonts w:eastAsia="Calibri" w:cstheme="minorHAnsi"/>
        </w:rPr>
        <w:t>To</w:t>
      </w:r>
      <w:r w:rsidRPr="006C26B1">
        <w:rPr>
          <w:rFonts w:eastAsia="Calibri" w:cstheme="minorHAnsi"/>
          <w:spacing w:val="-10"/>
        </w:rPr>
        <w:t xml:space="preserve"> </w:t>
      </w:r>
      <w:r w:rsidRPr="006C26B1">
        <w:rPr>
          <w:rFonts w:eastAsia="Calibri" w:cstheme="minorHAnsi"/>
        </w:rPr>
        <w:t>learn</w:t>
      </w:r>
      <w:r w:rsidRPr="006C26B1">
        <w:rPr>
          <w:rFonts w:eastAsia="Calibri" w:cstheme="minorHAnsi"/>
          <w:spacing w:val="-11"/>
        </w:rPr>
        <w:t xml:space="preserve"> </w:t>
      </w:r>
      <w:r w:rsidRPr="006C26B1">
        <w:rPr>
          <w:rFonts w:eastAsia="Calibri" w:cstheme="minorHAnsi"/>
        </w:rPr>
        <w:t>more</w:t>
      </w:r>
      <w:r w:rsidRPr="006C26B1">
        <w:rPr>
          <w:rFonts w:eastAsia="Calibri" w:cstheme="minorHAnsi"/>
          <w:spacing w:val="-10"/>
        </w:rPr>
        <w:t xml:space="preserve"> </w:t>
      </w:r>
      <w:r w:rsidRPr="006C26B1">
        <w:rPr>
          <w:rFonts w:eastAsia="Calibri" w:cstheme="minorHAnsi"/>
        </w:rPr>
        <w:t>about</w:t>
      </w:r>
      <w:r w:rsidRPr="006C26B1">
        <w:rPr>
          <w:rFonts w:eastAsia="Calibri" w:cstheme="minorHAnsi"/>
          <w:spacing w:val="-11"/>
        </w:rPr>
        <w:t xml:space="preserve"> </w:t>
      </w:r>
      <w:r w:rsidRPr="006C26B1">
        <w:rPr>
          <w:rFonts w:eastAsia="Calibri" w:cstheme="minorHAnsi"/>
        </w:rPr>
        <w:t>CDC’s</w:t>
      </w:r>
      <w:r w:rsidRPr="006C26B1">
        <w:rPr>
          <w:rFonts w:eastAsia="Calibri" w:cstheme="minorHAnsi"/>
          <w:spacing w:val="-11"/>
        </w:rPr>
        <w:t xml:space="preserve"> </w:t>
      </w:r>
      <w:r w:rsidRPr="006C26B1">
        <w:rPr>
          <w:rFonts w:eastAsia="Calibri" w:cstheme="minorHAnsi"/>
        </w:rPr>
        <w:t>global</w:t>
      </w:r>
      <w:r w:rsidRPr="006C26B1">
        <w:rPr>
          <w:rFonts w:eastAsia="Calibri" w:cstheme="minorHAnsi"/>
          <w:spacing w:val="-10"/>
        </w:rPr>
        <w:t xml:space="preserve"> </w:t>
      </w:r>
      <w:r w:rsidRPr="006C26B1">
        <w:rPr>
          <w:rFonts w:eastAsia="Calibri" w:cstheme="minorHAnsi"/>
        </w:rPr>
        <w:t>health</w:t>
      </w:r>
      <w:r w:rsidRPr="006C26B1">
        <w:rPr>
          <w:rFonts w:eastAsia="Calibri" w:cstheme="minorHAnsi"/>
          <w:spacing w:val="-11"/>
        </w:rPr>
        <w:t xml:space="preserve"> </w:t>
      </w:r>
      <w:r w:rsidRPr="006C26B1">
        <w:rPr>
          <w:rFonts w:eastAsia="Calibri" w:cstheme="minorHAnsi"/>
        </w:rPr>
        <w:t>work</w:t>
      </w:r>
      <w:r w:rsidRPr="006C26B1">
        <w:rPr>
          <w:rFonts w:eastAsia="Calibri" w:cstheme="minorHAnsi"/>
          <w:spacing w:val="-10"/>
        </w:rPr>
        <w:t xml:space="preserve"> </w:t>
      </w:r>
      <w:r w:rsidRPr="006C26B1">
        <w:rPr>
          <w:rFonts w:eastAsia="Calibri" w:cstheme="minorHAnsi"/>
        </w:rPr>
        <w:t>visit</w:t>
      </w:r>
      <w:r w:rsidRPr="006C26B1">
        <w:rPr>
          <w:rFonts w:eastAsia="Calibri" w:cstheme="minorHAnsi"/>
          <w:spacing w:val="-11"/>
        </w:rPr>
        <w:t xml:space="preserve"> </w:t>
      </w:r>
      <w:hyperlink r:id="rId6">
        <w:r w:rsidRPr="006C26B1">
          <w:rPr>
            <w:rFonts w:eastAsia="Calibri" w:cstheme="minorHAnsi"/>
          </w:rPr>
          <w:t>www.cdc.gov/globalhealth.</w:t>
        </w:r>
        <w:r w:rsidRPr="006C26B1">
          <w:rPr>
            <w:rFonts w:eastAsia="Calibri" w:cstheme="minorHAnsi"/>
            <w:spacing w:val="-10"/>
          </w:rPr>
          <w:t xml:space="preserve"> </w:t>
        </w:r>
      </w:hyperlink>
      <w:r w:rsidRPr="006C26B1">
        <w:rPr>
          <w:rFonts w:eastAsia="Calibri" w:cstheme="minorHAnsi"/>
          <w:spacing w:val="-2"/>
        </w:rPr>
        <w:t>Follow @CDCGlobal on social media</w:t>
      </w:r>
    </w:p>
    <w:sectPr w:rsidR="003231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0D96" w14:textId="77777777" w:rsidR="003828EE" w:rsidRDefault="003828EE" w:rsidP="00323152">
      <w:pPr>
        <w:spacing w:after="0" w:line="240" w:lineRule="auto"/>
      </w:pPr>
      <w:r>
        <w:separator/>
      </w:r>
    </w:p>
  </w:endnote>
  <w:endnote w:type="continuationSeparator" w:id="0">
    <w:p w14:paraId="105B35E9" w14:textId="77777777" w:rsidR="003828EE" w:rsidRDefault="003828EE" w:rsidP="0032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D72E" w14:textId="77777777" w:rsidR="003828EE" w:rsidRDefault="003828EE" w:rsidP="00323152">
      <w:pPr>
        <w:spacing w:after="0" w:line="240" w:lineRule="auto"/>
      </w:pPr>
      <w:r>
        <w:separator/>
      </w:r>
    </w:p>
  </w:footnote>
  <w:footnote w:type="continuationSeparator" w:id="0">
    <w:p w14:paraId="615FEE58" w14:textId="77777777" w:rsidR="003828EE" w:rsidRDefault="003828EE" w:rsidP="00323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52"/>
    <w:rsid w:val="000627F5"/>
    <w:rsid w:val="001F65BD"/>
    <w:rsid w:val="00273225"/>
    <w:rsid w:val="00323152"/>
    <w:rsid w:val="003828EE"/>
    <w:rsid w:val="00393C7F"/>
    <w:rsid w:val="003D17BD"/>
    <w:rsid w:val="00513E32"/>
    <w:rsid w:val="006C26B1"/>
    <w:rsid w:val="00727094"/>
    <w:rsid w:val="00A3639A"/>
    <w:rsid w:val="00A85A8B"/>
    <w:rsid w:val="00BB2711"/>
    <w:rsid w:val="00CB7810"/>
    <w:rsid w:val="00DC0EB6"/>
    <w:rsid w:val="00E94419"/>
    <w:rsid w:val="00EC56AF"/>
    <w:rsid w:val="00F8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8FCB5"/>
  <w15:chartTrackingRefBased/>
  <w15:docId w15:val="{B829133F-F8C7-46F8-9B3C-ECBB9A1E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7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globalhealt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Kachinsky, Noelle (CDC/DDPHSIS/CGH/DGHP)</dc:creator>
  <cp:keywords/>
  <dc:description/>
  <cp:lastModifiedBy>Taylor, Jeffrey Glenn (CDC/DDPHSIS/CGH/OD) (CTR)</cp:lastModifiedBy>
  <cp:revision>2</cp:revision>
  <dcterms:created xsi:type="dcterms:W3CDTF">2023-05-10T13:54:00Z</dcterms:created>
  <dcterms:modified xsi:type="dcterms:W3CDTF">2023-05-10T13:54:00Z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2023-03-31T20:43:57Z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04962ba0-b299-49d2-879b-cf5ddd68f602</vt:lpwstr>
  </property>
  <property fmtid="{D5CDD505-2E9C-101B-9397-08002B2CF9AE}" pid="8" name="MSIP_Label_8af03ff0-41c5-4c41-b55e-fabb8fae94be_ContentBits">
    <vt:lpwstr>0</vt:lpwstr>
  </property>
</Properties>
</file>