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9875" w14:textId="77777777" w:rsidR="0062450B" w:rsidRPr="0062450B" w:rsidRDefault="0062450B" w:rsidP="0062450B">
      <w:pPr>
        <w:spacing w:before="100" w:beforeAutospacing="1" w:after="100" w:afterAutospacing="1" w:line="240" w:lineRule="auto"/>
        <w:outlineLvl w:val="0"/>
        <w:rPr>
          <w:rFonts w:ascii="Open Sans" w:eastAsia="Times New Roman" w:hAnsi="Open Sans" w:cs="Open Sans"/>
          <w:color w:val="222222"/>
          <w:kern w:val="36"/>
          <w:sz w:val="48"/>
          <w:szCs w:val="48"/>
          <w14:ligatures w14:val="none"/>
        </w:rPr>
      </w:pPr>
      <w:r w:rsidRPr="0062450B">
        <w:rPr>
          <w:rFonts w:ascii="Open Sans" w:eastAsia="Times New Roman" w:hAnsi="Open Sans" w:cs="Open Sans"/>
          <w:color w:val="222222"/>
          <w:kern w:val="36"/>
          <w:sz w:val="48"/>
          <w:szCs w:val="48"/>
          <w14:ligatures w14:val="none"/>
        </w:rPr>
        <w:t>Technical Notes for NIS Surveillance Tables</w:t>
      </w:r>
    </w:p>
    <w:p w14:paraId="5672AD2C" w14:textId="77777777" w:rsidR="0062450B" w:rsidRPr="0062450B" w:rsidRDefault="0062450B" w:rsidP="0062450B">
      <w:pPr>
        <w:shd w:val="clear" w:color="auto" w:fill="FFFFFF"/>
        <w:spacing w:after="0" w:line="240" w:lineRule="auto"/>
        <w:rPr>
          <w:rFonts w:ascii="Times New Roman" w:eastAsia="Times New Roman" w:hAnsi="Times New Roman" w:cs="Times New Roman"/>
          <w:color w:val="000000"/>
          <w:kern w:val="0"/>
          <w:sz w:val="29"/>
          <w:szCs w:val="29"/>
          <w14:ligatures w14:val="none"/>
        </w:rPr>
      </w:pPr>
      <w:r w:rsidRPr="0062450B">
        <w:rPr>
          <w:rFonts w:ascii="Times New Roman" w:eastAsia="Times New Roman" w:hAnsi="Times New Roman" w:cs="Times New Roman"/>
          <w:color w:val="000000"/>
          <w:kern w:val="0"/>
          <w:sz w:val="29"/>
          <w:szCs w:val="29"/>
          <w14:ligatures w14:val="none"/>
        </w:rPr>
        <w:t>On This Page</w:t>
      </w:r>
    </w:p>
    <w:p w14:paraId="086A6281" w14:textId="77777777" w:rsidR="0062450B" w:rsidRPr="0062450B" w:rsidRDefault="0062450B" w:rsidP="0062450B">
      <w:pPr>
        <w:numPr>
          <w:ilvl w:val="0"/>
          <w:numId w:val="1"/>
        </w:numPr>
        <w:shd w:val="clear" w:color="auto" w:fill="FFFFFF"/>
        <w:spacing w:before="100" w:beforeAutospacing="1" w:after="15" w:line="240" w:lineRule="auto"/>
        <w:ind w:left="495"/>
        <w:rPr>
          <w:rFonts w:ascii="Times New Roman" w:eastAsia="Times New Roman" w:hAnsi="Times New Roman" w:cs="Times New Roman"/>
          <w:color w:val="000000"/>
          <w:kern w:val="0"/>
          <w:sz w:val="24"/>
          <w:szCs w:val="24"/>
          <w14:ligatures w14:val="none"/>
        </w:rPr>
      </w:pPr>
      <w:hyperlink r:id="rId5" w:anchor="coverage-estimate" w:history="1">
        <w:r w:rsidRPr="0062450B">
          <w:rPr>
            <w:rFonts w:ascii="Times New Roman" w:eastAsia="Times New Roman" w:hAnsi="Times New Roman" w:cs="Times New Roman"/>
            <w:color w:val="000000"/>
            <w:kern w:val="0"/>
            <w:sz w:val="24"/>
            <w:szCs w:val="24"/>
            <w14:ligatures w14:val="none"/>
          </w:rPr>
          <w:t>Coverage Estimate Methodology and 95% Confidence Interval (CI)</w:t>
        </w:r>
      </w:hyperlink>
    </w:p>
    <w:p w14:paraId="7451A974" w14:textId="77777777" w:rsidR="0062450B" w:rsidRPr="0062450B" w:rsidRDefault="0062450B" w:rsidP="0062450B">
      <w:pPr>
        <w:numPr>
          <w:ilvl w:val="0"/>
          <w:numId w:val="1"/>
        </w:numPr>
        <w:pBdr>
          <w:top w:val="dashed" w:sz="6" w:space="0" w:color="E0E0E0"/>
        </w:pBdr>
        <w:shd w:val="clear" w:color="auto" w:fill="FFFFFF"/>
        <w:spacing w:before="100" w:beforeAutospacing="1" w:after="15" w:line="240" w:lineRule="auto"/>
        <w:ind w:left="495"/>
        <w:rPr>
          <w:rFonts w:ascii="Times New Roman" w:eastAsia="Times New Roman" w:hAnsi="Times New Roman" w:cs="Times New Roman"/>
          <w:color w:val="000000"/>
          <w:kern w:val="0"/>
          <w:sz w:val="24"/>
          <w:szCs w:val="24"/>
          <w14:ligatures w14:val="none"/>
        </w:rPr>
      </w:pPr>
      <w:hyperlink r:id="rId6" w:anchor="race-ethnicity" w:history="1">
        <w:r w:rsidRPr="0062450B">
          <w:rPr>
            <w:rFonts w:ascii="Times New Roman" w:eastAsia="Times New Roman" w:hAnsi="Times New Roman" w:cs="Times New Roman"/>
            <w:color w:val="000000"/>
            <w:kern w:val="0"/>
            <w:sz w:val="24"/>
            <w:szCs w:val="24"/>
            <w14:ligatures w14:val="none"/>
          </w:rPr>
          <w:t>Race/ethnicity</w:t>
        </w:r>
      </w:hyperlink>
    </w:p>
    <w:p w14:paraId="7BDEC8FD" w14:textId="77777777" w:rsidR="0062450B" w:rsidRPr="0062450B" w:rsidRDefault="0062450B" w:rsidP="0062450B">
      <w:pPr>
        <w:numPr>
          <w:ilvl w:val="0"/>
          <w:numId w:val="1"/>
        </w:numPr>
        <w:pBdr>
          <w:top w:val="dashed" w:sz="6" w:space="0" w:color="E0E0E0"/>
        </w:pBdr>
        <w:shd w:val="clear" w:color="auto" w:fill="FFFFFF"/>
        <w:spacing w:before="100" w:beforeAutospacing="1" w:after="30" w:line="240" w:lineRule="auto"/>
        <w:ind w:left="495"/>
        <w:rPr>
          <w:rFonts w:ascii="Times New Roman" w:eastAsia="Times New Roman" w:hAnsi="Times New Roman" w:cs="Times New Roman"/>
          <w:color w:val="000000"/>
          <w:kern w:val="0"/>
          <w:sz w:val="24"/>
          <w:szCs w:val="24"/>
          <w14:ligatures w14:val="none"/>
        </w:rPr>
      </w:pPr>
      <w:hyperlink r:id="rId7" w:anchor="age" w:history="1">
        <w:r w:rsidRPr="0062450B">
          <w:rPr>
            <w:rFonts w:ascii="Times New Roman" w:eastAsia="Times New Roman" w:hAnsi="Times New Roman" w:cs="Times New Roman"/>
            <w:color w:val="000000"/>
            <w:kern w:val="0"/>
            <w:sz w:val="24"/>
            <w:szCs w:val="24"/>
            <w14:ligatures w14:val="none"/>
          </w:rPr>
          <w:t>Age</w:t>
        </w:r>
      </w:hyperlink>
    </w:p>
    <w:p w14:paraId="2CD189DF" w14:textId="77777777" w:rsidR="0062450B" w:rsidRPr="0062450B" w:rsidRDefault="0062450B" w:rsidP="0062450B">
      <w:pPr>
        <w:numPr>
          <w:ilvl w:val="0"/>
          <w:numId w:val="1"/>
        </w:numPr>
        <w:pBdr>
          <w:top w:val="dashed" w:sz="6" w:space="0" w:color="E0E0E0"/>
        </w:pBdr>
        <w:shd w:val="clear" w:color="auto" w:fill="FFFFFF"/>
        <w:spacing w:before="100" w:beforeAutospacing="1" w:after="0" w:line="240" w:lineRule="auto"/>
        <w:ind w:left="495"/>
        <w:rPr>
          <w:rFonts w:ascii="Times New Roman" w:eastAsia="Times New Roman" w:hAnsi="Times New Roman" w:cs="Times New Roman"/>
          <w:color w:val="000000"/>
          <w:kern w:val="0"/>
          <w:sz w:val="24"/>
          <w:szCs w:val="24"/>
          <w14:ligatures w14:val="none"/>
        </w:rPr>
      </w:pPr>
      <w:hyperlink r:id="rId8" w:anchor="vaccine-abbreviations" w:history="1">
        <w:r w:rsidRPr="0062450B">
          <w:rPr>
            <w:rFonts w:ascii="Times New Roman" w:eastAsia="Times New Roman" w:hAnsi="Times New Roman" w:cs="Times New Roman"/>
            <w:color w:val="000000"/>
            <w:kern w:val="0"/>
            <w:sz w:val="24"/>
            <w:szCs w:val="24"/>
            <w14:ligatures w14:val="none"/>
          </w:rPr>
          <w:t>Vaccine Abbreviations</w:t>
        </w:r>
      </w:hyperlink>
    </w:p>
    <w:p w14:paraId="7DA30281" w14:textId="77777777" w:rsidR="0062450B" w:rsidRPr="0062450B" w:rsidRDefault="0062450B" w:rsidP="0062450B">
      <w:pPr>
        <w:spacing w:before="100" w:beforeAutospacing="1" w:after="100" w:afterAutospacing="1" w:line="240" w:lineRule="auto"/>
        <w:outlineLvl w:val="1"/>
        <w:rPr>
          <w:rFonts w:ascii="Open Sans SemiBold" w:eastAsia="Times New Roman" w:hAnsi="Open Sans SemiBold" w:cs="Open Sans SemiBold"/>
          <w:b/>
          <w:bCs/>
          <w:color w:val="333333"/>
          <w:kern w:val="0"/>
          <w:sz w:val="36"/>
          <w:szCs w:val="36"/>
          <w14:ligatures w14:val="none"/>
        </w:rPr>
      </w:pPr>
      <w:bookmarkStart w:id="0" w:name="coverage-estimate"/>
      <w:bookmarkEnd w:id="0"/>
      <w:r w:rsidRPr="0062450B">
        <w:rPr>
          <w:rFonts w:ascii="Open Sans SemiBold" w:eastAsia="Times New Roman" w:hAnsi="Open Sans SemiBold" w:cs="Open Sans SemiBold"/>
          <w:b/>
          <w:bCs/>
          <w:color w:val="333333"/>
          <w:kern w:val="0"/>
          <w:sz w:val="36"/>
          <w:szCs w:val="36"/>
          <w14:ligatures w14:val="none"/>
        </w:rPr>
        <w:t>Coverage Estimate Methodology and 95% Confidence Interval (CI)</w:t>
      </w:r>
    </w:p>
    <w:p w14:paraId="71A40E8A"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The NIS samples part of the population. It does not collect data for the entire population. The NIS national sample contains approximately 26,000 completed household interviews. National coverage estimates are based on the subsample of approximately 15,000 children with adequate provider data. Vaccination coverage estimates are based on provider-reported vaccination histories. Complex statistical methods are used to adjust for children whose parents did not participate in the survey, lived in households without telephones, or had immunization histories that were not reported by their providers.</w:t>
      </w:r>
    </w:p>
    <w:p w14:paraId="3DCEB1C1"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Vaccination coverage estimates are presented as a point estimate (%) with a 95% CI. Sample estimates and population values may be different. Part of the difference may be measured through the 95% CI around the estimate. The 95% CI is a measure of precision. Wide confidence intervals are a sign of a relatively small sample size and relatively less precision.</w:t>
      </w:r>
    </w:p>
    <w:p w14:paraId="3D860910"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National vaccination coverage estimates are based on a larger sample size, have much smaller (less than ± 1%) confidence intervals, and are more precise than state or local area estimates. For example, in 2015, the vaccination coverage </w:t>
      </w:r>
      <w:proofErr w:type="gramStart"/>
      <w:r w:rsidRPr="0062450B">
        <w:rPr>
          <w:rFonts w:ascii="Times New Roman" w:eastAsia="Times New Roman" w:hAnsi="Times New Roman" w:cs="Times New Roman"/>
          <w:kern w:val="0"/>
          <w:sz w:val="24"/>
          <w:szCs w:val="24"/>
          <w14:ligatures w14:val="none"/>
        </w:rPr>
        <w:t>estimate</w:t>
      </w:r>
      <w:proofErr w:type="gramEnd"/>
      <w:r w:rsidRPr="0062450B">
        <w:rPr>
          <w:rFonts w:ascii="Times New Roman" w:eastAsia="Times New Roman" w:hAnsi="Times New Roman" w:cs="Times New Roman"/>
          <w:kern w:val="0"/>
          <w:sz w:val="24"/>
          <w:szCs w:val="24"/>
          <w14:ligatures w14:val="none"/>
        </w:rPr>
        <w:t xml:space="preserve"> for ≥1 dose of measles, mumps, and rubella vaccine among children 19-35 months in the United States was 91.9% +/-0.8%. This means that the true coverage was probably between 91.1% and 92.7%. The same survey year, the vaccination coverage </w:t>
      </w:r>
      <w:proofErr w:type="gramStart"/>
      <w:r w:rsidRPr="0062450B">
        <w:rPr>
          <w:rFonts w:ascii="Times New Roman" w:eastAsia="Times New Roman" w:hAnsi="Times New Roman" w:cs="Times New Roman"/>
          <w:kern w:val="0"/>
          <w:sz w:val="24"/>
          <w:szCs w:val="24"/>
          <w14:ligatures w14:val="none"/>
        </w:rPr>
        <w:t>estimate</w:t>
      </w:r>
      <w:proofErr w:type="gramEnd"/>
      <w:r w:rsidRPr="0062450B">
        <w:rPr>
          <w:rFonts w:ascii="Times New Roman" w:eastAsia="Times New Roman" w:hAnsi="Times New Roman" w:cs="Times New Roman"/>
          <w:kern w:val="0"/>
          <w:sz w:val="24"/>
          <w:szCs w:val="24"/>
          <w14:ligatures w14:val="none"/>
        </w:rPr>
        <w:t xml:space="preserve"> for ≥1 dose of measles, mumps, and rubella vaccine among children 19-35 months in Connecticut was 97.5% +/-2.4%. This means that the true coverage was probably between 95.1% and 99.9%.</w:t>
      </w:r>
    </w:p>
    <w:p w14:paraId="5A167D62"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If an estimate is reported as NA (Not Available), the estimate was not reported because it may not be reliable or precise. If the unweighted sample size for the numerator was less than 30 or the (CI half-width)/Estimate was greater than 0.6, the estimate may not be reliable or precise. The estimate for such a subgroup is not reported. The individuals are still included in the overall sample and the overall estimate. State estimates with a CI half-width greater than 10 may be </w:t>
      </w:r>
      <w:proofErr w:type="gramStart"/>
      <w:r w:rsidRPr="0062450B">
        <w:rPr>
          <w:rFonts w:ascii="Times New Roman" w:eastAsia="Times New Roman" w:hAnsi="Times New Roman" w:cs="Times New Roman"/>
          <w:kern w:val="0"/>
          <w:sz w:val="24"/>
          <w:szCs w:val="24"/>
          <w14:ligatures w14:val="none"/>
        </w:rPr>
        <w:t>unreliable, but</w:t>
      </w:r>
      <w:proofErr w:type="gramEnd"/>
      <w:r w:rsidRPr="0062450B">
        <w:rPr>
          <w:rFonts w:ascii="Times New Roman" w:eastAsia="Times New Roman" w:hAnsi="Times New Roman" w:cs="Times New Roman"/>
          <w:kern w:val="0"/>
          <w:sz w:val="24"/>
          <w:szCs w:val="24"/>
          <w14:ligatures w14:val="none"/>
        </w:rPr>
        <w:t xml:space="preserve"> are reported and marked by a footnote.</w:t>
      </w:r>
    </w:p>
    <w:p w14:paraId="2BD4F8E3" w14:textId="77777777" w:rsidR="0062450B" w:rsidRPr="0062450B" w:rsidRDefault="0062450B" w:rsidP="0062450B">
      <w:pPr>
        <w:spacing w:before="100" w:beforeAutospacing="1" w:after="100" w:afterAutospacing="1" w:line="240" w:lineRule="auto"/>
        <w:outlineLvl w:val="1"/>
        <w:rPr>
          <w:rFonts w:ascii="Open Sans SemiBold" w:eastAsia="Times New Roman" w:hAnsi="Open Sans SemiBold" w:cs="Open Sans SemiBold"/>
          <w:b/>
          <w:bCs/>
          <w:color w:val="333333"/>
          <w:kern w:val="0"/>
          <w:sz w:val="36"/>
          <w:szCs w:val="36"/>
          <w14:ligatures w14:val="none"/>
        </w:rPr>
      </w:pPr>
      <w:bookmarkStart w:id="1" w:name="race-ethnicity"/>
      <w:bookmarkEnd w:id="1"/>
      <w:r w:rsidRPr="0062450B">
        <w:rPr>
          <w:rFonts w:ascii="Open Sans SemiBold" w:eastAsia="Times New Roman" w:hAnsi="Open Sans SemiBold" w:cs="Open Sans SemiBold"/>
          <w:b/>
          <w:bCs/>
          <w:color w:val="333333"/>
          <w:kern w:val="0"/>
          <w:sz w:val="36"/>
          <w:szCs w:val="36"/>
          <w14:ligatures w14:val="none"/>
        </w:rPr>
        <w:lastRenderedPageBreak/>
        <w:t>Race/</w:t>
      </w:r>
      <w:proofErr w:type="gramStart"/>
      <w:r w:rsidRPr="0062450B">
        <w:rPr>
          <w:rFonts w:ascii="Open Sans SemiBold" w:eastAsia="Times New Roman" w:hAnsi="Open Sans SemiBold" w:cs="Open Sans SemiBold"/>
          <w:b/>
          <w:bCs/>
          <w:color w:val="333333"/>
          <w:kern w:val="0"/>
          <w:sz w:val="36"/>
          <w:szCs w:val="36"/>
          <w14:ligatures w14:val="none"/>
        </w:rPr>
        <w:t>ethnicity</w:t>
      </w:r>
      <w:proofErr w:type="gramEnd"/>
    </w:p>
    <w:p w14:paraId="245CDF9A"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The child’s race/ethnicity was reported by the parent or guardian responding to the survey. Hispanic children can be of any race. Children identified as multiple races had more than one race category selected. Children identified as white, black, Asian, Native Hawaiian/other Pacific Islander, American Indian/Alaska Native, or multiple races were non-Hispanic.</w:t>
      </w:r>
    </w:p>
    <w:p w14:paraId="19FAE732" w14:textId="77777777" w:rsidR="0062450B" w:rsidRPr="0062450B" w:rsidRDefault="0062450B" w:rsidP="0062450B">
      <w:pPr>
        <w:spacing w:before="100" w:beforeAutospacing="1" w:after="100" w:afterAutospacing="1" w:line="240" w:lineRule="auto"/>
        <w:outlineLvl w:val="1"/>
        <w:rPr>
          <w:rFonts w:ascii="Open Sans SemiBold" w:eastAsia="Times New Roman" w:hAnsi="Open Sans SemiBold" w:cs="Open Sans SemiBold"/>
          <w:b/>
          <w:bCs/>
          <w:color w:val="333333"/>
          <w:kern w:val="0"/>
          <w:sz w:val="36"/>
          <w:szCs w:val="36"/>
          <w14:ligatures w14:val="none"/>
        </w:rPr>
      </w:pPr>
      <w:bookmarkStart w:id="2" w:name="age"/>
      <w:bookmarkEnd w:id="2"/>
      <w:r w:rsidRPr="0062450B">
        <w:rPr>
          <w:rFonts w:ascii="Open Sans SemiBold" w:eastAsia="Times New Roman" w:hAnsi="Open Sans SemiBold" w:cs="Open Sans SemiBold"/>
          <w:b/>
          <w:bCs/>
          <w:color w:val="333333"/>
          <w:kern w:val="0"/>
          <w:sz w:val="36"/>
          <w:szCs w:val="36"/>
          <w14:ligatures w14:val="none"/>
        </w:rPr>
        <w:t>Age</w:t>
      </w:r>
    </w:p>
    <w:p w14:paraId="4984313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Starting in the 2011 data collection year, children were age eligible to be included in the survey if they were born from January, three years prior to the start of the survey, through May, one year prior to the start of the survey. For example, children in the survey period from January through December 2015 were born from January 2012 through May 2014.</w:t>
      </w:r>
    </w:p>
    <w:p w14:paraId="6F620DA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Prior to the 2011 data collection year, children were age eligible to be included in the survey if they were born from February, three years prior to the start of the survey, through May, one year prior to the start of the survey. For example, children in the survey period from January through December 2010 were born from February 2007 through May 2009.</w:t>
      </w:r>
    </w:p>
    <w:p w14:paraId="1FB3DD93"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hyperlink r:id="rId9" w:history="1">
        <w:r w:rsidRPr="0062450B">
          <w:rPr>
            <w:rFonts w:ascii="Times New Roman" w:eastAsia="Times New Roman" w:hAnsi="Times New Roman" w:cs="Times New Roman"/>
            <w:color w:val="000000"/>
            <w:kern w:val="0"/>
            <w:sz w:val="24"/>
            <w:szCs w:val="24"/>
            <w:u w:val="single"/>
            <w14:ligatures w14:val="none"/>
          </w:rPr>
          <w:t>Top of Page</w:t>
        </w:r>
      </w:hyperlink>
    </w:p>
    <w:p w14:paraId="52481290" w14:textId="77777777" w:rsidR="0062450B" w:rsidRPr="0062450B" w:rsidRDefault="0062450B" w:rsidP="0062450B">
      <w:pPr>
        <w:spacing w:before="100" w:beforeAutospacing="1" w:after="100" w:afterAutospacing="1" w:line="240" w:lineRule="auto"/>
        <w:outlineLvl w:val="1"/>
        <w:rPr>
          <w:rFonts w:ascii="Open Sans SemiBold" w:eastAsia="Times New Roman" w:hAnsi="Open Sans SemiBold" w:cs="Open Sans SemiBold"/>
          <w:b/>
          <w:bCs/>
          <w:color w:val="333333"/>
          <w:kern w:val="0"/>
          <w:sz w:val="36"/>
          <w:szCs w:val="36"/>
          <w14:ligatures w14:val="none"/>
        </w:rPr>
      </w:pPr>
      <w:bookmarkStart w:id="3" w:name="vaccine-abbreviations"/>
      <w:bookmarkEnd w:id="3"/>
      <w:r w:rsidRPr="0062450B">
        <w:rPr>
          <w:rFonts w:ascii="Open Sans SemiBold" w:eastAsia="Times New Roman" w:hAnsi="Open Sans SemiBold" w:cs="Open Sans SemiBold"/>
          <w:b/>
          <w:bCs/>
          <w:color w:val="333333"/>
          <w:kern w:val="0"/>
          <w:sz w:val="36"/>
          <w:szCs w:val="36"/>
          <w14:ligatures w14:val="none"/>
        </w:rPr>
        <w:t>Vaccine Abbreviations</w:t>
      </w:r>
    </w:p>
    <w:p w14:paraId="31FD0710"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proofErr w:type="spellStart"/>
      <w:r w:rsidRPr="0062450B">
        <w:rPr>
          <w:rFonts w:ascii="Times New Roman" w:eastAsia="Times New Roman" w:hAnsi="Times New Roman" w:cs="Times New Roman"/>
          <w:b/>
          <w:bCs/>
          <w:kern w:val="0"/>
          <w:sz w:val="24"/>
          <w:szCs w:val="24"/>
          <w14:ligatures w14:val="none"/>
        </w:rPr>
        <w:t>DTap</w:t>
      </w:r>
      <w:proofErr w:type="spellEnd"/>
      <w:r w:rsidRPr="0062450B">
        <w:rPr>
          <w:rFonts w:ascii="Times New Roman" w:eastAsia="Times New Roman" w:hAnsi="Times New Roman" w:cs="Times New Roman"/>
          <w:b/>
          <w:bCs/>
          <w:kern w:val="0"/>
          <w:sz w:val="24"/>
          <w:szCs w:val="24"/>
          <w14:ligatures w14:val="none"/>
        </w:rPr>
        <w:t>: diphtheria and tetanus toxoids and acellular pertussis vaccine (includes children who might have been vaccinated with diphtheria and tetanus toxoids vaccine or diphtheria, tetanus toxoids, and pertussis vaccine)</w:t>
      </w:r>
    </w:p>
    <w:p w14:paraId="5304C81A"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≥1 dose DTaP vaccination: 1 or more doses of DTaP</w:t>
      </w:r>
    </w:p>
    <w:p w14:paraId="797D7EBC"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≥2 doses DTaP vaccination: 2 or more doses of DTaP</w:t>
      </w:r>
    </w:p>
    <w:p w14:paraId="5E73E4B6"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≥3 doses DTaP vaccination: 3 or more doses of DTaP</w:t>
      </w:r>
    </w:p>
    <w:p w14:paraId="1F1A020C"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≥4 doses DTaP vaccination: 4 or more doses of DTaP</w:t>
      </w:r>
    </w:p>
    <w:p w14:paraId="43CD375D"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32D1BCA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Polio: poliovirus vaccine</w:t>
      </w:r>
    </w:p>
    <w:p w14:paraId="33404D82"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≥1 dose Polio vaccination: 1 or more doses of polio</w:t>
      </w:r>
    </w:p>
    <w:p w14:paraId="44EA3617"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≥2 dose Polio vaccination: 2 or more doses of polio</w:t>
      </w:r>
    </w:p>
    <w:p w14:paraId="6829DD3B"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≥3 dose Polio vaccination: 3 or more doses of polio</w:t>
      </w:r>
    </w:p>
    <w:p w14:paraId="29190836"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lastRenderedPageBreak/>
        <w:t> </w:t>
      </w:r>
    </w:p>
    <w:p w14:paraId="405CC90C"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 xml:space="preserve">MCV: measles containing </w:t>
      </w:r>
      <w:proofErr w:type="gramStart"/>
      <w:r w:rsidRPr="0062450B">
        <w:rPr>
          <w:rFonts w:ascii="Times New Roman" w:eastAsia="Times New Roman" w:hAnsi="Times New Roman" w:cs="Times New Roman"/>
          <w:b/>
          <w:bCs/>
          <w:kern w:val="0"/>
          <w:sz w:val="24"/>
          <w:szCs w:val="24"/>
          <w14:ligatures w14:val="none"/>
        </w:rPr>
        <w:t>vaccine</w:t>
      </w:r>
      <w:proofErr w:type="gramEnd"/>
    </w:p>
    <w:p w14:paraId="4299AB80"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MMR: measles-mumps-rubella vaccine</w:t>
      </w:r>
    </w:p>
    <w:p w14:paraId="1C5514A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≥1 dose MMR vaccination: 1 or more doses of MMR</w:t>
      </w:r>
    </w:p>
    <w:p w14:paraId="0707467C"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3D27AC68"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Hib: </w:t>
      </w:r>
      <w:r w:rsidRPr="0062450B">
        <w:rPr>
          <w:rFonts w:ascii="Times New Roman" w:eastAsia="Times New Roman" w:hAnsi="Times New Roman" w:cs="Times New Roman"/>
          <w:b/>
          <w:bCs/>
          <w:i/>
          <w:iCs/>
          <w:kern w:val="0"/>
          <w:sz w:val="24"/>
          <w:szCs w:val="24"/>
          <w14:ligatures w14:val="none"/>
        </w:rPr>
        <w:t>Haemophilus influenzae</w:t>
      </w:r>
      <w:r w:rsidRPr="0062450B">
        <w:rPr>
          <w:rFonts w:ascii="Times New Roman" w:eastAsia="Times New Roman" w:hAnsi="Times New Roman" w:cs="Times New Roman"/>
          <w:b/>
          <w:bCs/>
          <w:kern w:val="0"/>
          <w:sz w:val="24"/>
          <w:szCs w:val="24"/>
          <w14:ligatures w14:val="none"/>
        </w:rPr>
        <w:t> type b vaccine</w:t>
      </w:r>
    </w:p>
    <w:p w14:paraId="360DF5D0"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≥1 dose Hib vaccination: 1 or more doses of Hib</w:t>
      </w:r>
    </w:p>
    <w:p w14:paraId="509BF2D8"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≥2 dose Hib vaccination: 2 or more doses of Hib</w:t>
      </w:r>
    </w:p>
    <w:p w14:paraId="09C030D9"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≥3 dose Hib vaccination: 3 or more doses of Hib</w:t>
      </w:r>
    </w:p>
    <w:p w14:paraId="2D1EA949"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0C510EB1"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Hib-PS vaccination: Primary series of Hib (≥2 or ≥3 doses, depending on product type)</w:t>
      </w:r>
    </w:p>
    <w:p w14:paraId="1CAD667B"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Hib-FS vaccination: full series of Hib (3 or 4 doses, depending on product type received)</w:t>
      </w:r>
    </w:p>
    <w:p w14:paraId="43414FC7"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3B9E6FFE"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proofErr w:type="spellStart"/>
      <w:r w:rsidRPr="0062450B">
        <w:rPr>
          <w:rFonts w:ascii="Times New Roman" w:eastAsia="Times New Roman" w:hAnsi="Times New Roman" w:cs="Times New Roman"/>
          <w:b/>
          <w:bCs/>
          <w:kern w:val="0"/>
          <w:sz w:val="24"/>
          <w:szCs w:val="24"/>
          <w14:ligatures w14:val="none"/>
        </w:rPr>
        <w:t>HepB</w:t>
      </w:r>
      <w:proofErr w:type="spellEnd"/>
      <w:r w:rsidRPr="0062450B">
        <w:rPr>
          <w:rFonts w:ascii="Times New Roman" w:eastAsia="Times New Roman" w:hAnsi="Times New Roman" w:cs="Times New Roman"/>
          <w:b/>
          <w:bCs/>
          <w:kern w:val="0"/>
          <w:sz w:val="24"/>
          <w:szCs w:val="24"/>
          <w14:ligatures w14:val="none"/>
        </w:rPr>
        <w:t>: hepatitis B vaccine</w:t>
      </w:r>
    </w:p>
    <w:p w14:paraId="483B2FED"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Hepatitis B Birth Dose vaccination: </w:t>
      </w:r>
      <w:proofErr w:type="spellStart"/>
      <w:r w:rsidRPr="0062450B">
        <w:rPr>
          <w:rFonts w:ascii="Times New Roman" w:eastAsia="Times New Roman" w:hAnsi="Times New Roman" w:cs="Times New Roman"/>
          <w:kern w:val="0"/>
          <w:sz w:val="24"/>
          <w:szCs w:val="24"/>
          <w14:ligatures w14:val="none"/>
        </w:rPr>
        <w:t>HepB</w:t>
      </w:r>
      <w:proofErr w:type="spellEnd"/>
      <w:r w:rsidRPr="0062450B">
        <w:rPr>
          <w:rFonts w:ascii="Times New Roman" w:eastAsia="Times New Roman" w:hAnsi="Times New Roman" w:cs="Times New Roman"/>
          <w:kern w:val="0"/>
          <w:sz w:val="24"/>
          <w:szCs w:val="24"/>
          <w14:ligatures w14:val="none"/>
        </w:rPr>
        <w:t xml:space="preserve"> administered from birth through age 3 days.</w:t>
      </w:r>
    </w:p>
    <w:p w14:paraId="21AA69F8"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≥1 dose Hepatitis B Vaccination: 1 or more doses of </w:t>
      </w:r>
      <w:proofErr w:type="spellStart"/>
      <w:r w:rsidRPr="0062450B">
        <w:rPr>
          <w:rFonts w:ascii="Times New Roman" w:eastAsia="Times New Roman" w:hAnsi="Times New Roman" w:cs="Times New Roman"/>
          <w:kern w:val="0"/>
          <w:sz w:val="24"/>
          <w:szCs w:val="24"/>
          <w14:ligatures w14:val="none"/>
        </w:rPr>
        <w:t>HepB</w:t>
      </w:r>
      <w:proofErr w:type="spellEnd"/>
    </w:p>
    <w:p w14:paraId="21B024E4"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≥2 dose Hepatitis B Vaccination: 2 or more doses of </w:t>
      </w:r>
      <w:proofErr w:type="spellStart"/>
      <w:r w:rsidRPr="0062450B">
        <w:rPr>
          <w:rFonts w:ascii="Times New Roman" w:eastAsia="Times New Roman" w:hAnsi="Times New Roman" w:cs="Times New Roman"/>
          <w:kern w:val="0"/>
          <w:sz w:val="24"/>
          <w:szCs w:val="24"/>
          <w14:ligatures w14:val="none"/>
        </w:rPr>
        <w:t>HepB</w:t>
      </w:r>
      <w:proofErr w:type="spellEnd"/>
    </w:p>
    <w:p w14:paraId="7D83F17A"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≥3 dose Hepatitis B Vaccination: 3 or more doses of </w:t>
      </w:r>
      <w:proofErr w:type="spellStart"/>
      <w:r w:rsidRPr="0062450B">
        <w:rPr>
          <w:rFonts w:ascii="Times New Roman" w:eastAsia="Times New Roman" w:hAnsi="Times New Roman" w:cs="Times New Roman"/>
          <w:kern w:val="0"/>
          <w:sz w:val="24"/>
          <w:szCs w:val="24"/>
          <w14:ligatures w14:val="none"/>
        </w:rPr>
        <w:t>HepB</w:t>
      </w:r>
      <w:proofErr w:type="spellEnd"/>
    </w:p>
    <w:p w14:paraId="49D3CD6E"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5D7CD564"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VAR: varicella vaccine</w:t>
      </w:r>
    </w:p>
    <w:p w14:paraId="191354C4"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≥1 Varicella vaccination: 1 or more doses of varicella vaccine received at or after age 12 months, unadjusted for history of varicella </w:t>
      </w:r>
      <w:proofErr w:type="gramStart"/>
      <w:r w:rsidRPr="0062450B">
        <w:rPr>
          <w:rFonts w:ascii="Times New Roman" w:eastAsia="Times New Roman" w:hAnsi="Times New Roman" w:cs="Times New Roman"/>
          <w:kern w:val="0"/>
          <w:sz w:val="24"/>
          <w:szCs w:val="24"/>
          <w14:ligatures w14:val="none"/>
        </w:rPr>
        <w:t>illness</w:t>
      </w:r>
      <w:proofErr w:type="gramEnd"/>
    </w:p>
    <w:p w14:paraId="15A7AB36"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PCV: pneumococcal conjugate vaccine</w:t>
      </w:r>
    </w:p>
    <w:p w14:paraId="5C5FFF72"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≥1 dose PCV vaccination: 1 or more doses of PCV</w:t>
      </w:r>
    </w:p>
    <w:p w14:paraId="69D7A788"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lastRenderedPageBreak/>
        <w:t>≥2 dose PCV vaccination: 2 or more doses of PCV</w:t>
      </w:r>
    </w:p>
    <w:p w14:paraId="1142F48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≥3 dose PCV vaccination: 3 or more doses of PCV</w:t>
      </w:r>
    </w:p>
    <w:p w14:paraId="50ACD7DB"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≥4 dose PCV vaccination: 4 or more doses of PCV</w:t>
      </w:r>
    </w:p>
    <w:p w14:paraId="11E1D875"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2039C990"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proofErr w:type="spellStart"/>
      <w:r w:rsidRPr="0062450B">
        <w:rPr>
          <w:rFonts w:ascii="Times New Roman" w:eastAsia="Times New Roman" w:hAnsi="Times New Roman" w:cs="Times New Roman"/>
          <w:b/>
          <w:bCs/>
          <w:kern w:val="0"/>
          <w:sz w:val="24"/>
          <w:szCs w:val="24"/>
          <w14:ligatures w14:val="none"/>
        </w:rPr>
        <w:t>HepA</w:t>
      </w:r>
      <w:proofErr w:type="spellEnd"/>
      <w:r w:rsidRPr="0062450B">
        <w:rPr>
          <w:rFonts w:ascii="Times New Roman" w:eastAsia="Times New Roman" w:hAnsi="Times New Roman" w:cs="Times New Roman"/>
          <w:b/>
          <w:bCs/>
          <w:kern w:val="0"/>
          <w:sz w:val="24"/>
          <w:szCs w:val="24"/>
          <w14:ligatures w14:val="none"/>
        </w:rPr>
        <w:t>: hepatitis A vaccine</w:t>
      </w:r>
    </w:p>
    <w:p w14:paraId="63F6509C"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≥1 dose Hepatitis A Vaccination: 1 or more doses of </w:t>
      </w:r>
      <w:proofErr w:type="spellStart"/>
      <w:r w:rsidRPr="0062450B">
        <w:rPr>
          <w:rFonts w:ascii="Times New Roman" w:eastAsia="Times New Roman" w:hAnsi="Times New Roman" w:cs="Times New Roman"/>
          <w:kern w:val="0"/>
          <w:sz w:val="24"/>
          <w:szCs w:val="24"/>
          <w14:ligatures w14:val="none"/>
        </w:rPr>
        <w:t>HepA</w:t>
      </w:r>
      <w:proofErr w:type="spellEnd"/>
    </w:p>
    <w:p w14:paraId="7B7F4C75"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≥2 dose Hepatitis A Vaccination: 2 or more doses of </w:t>
      </w:r>
      <w:proofErr w:type="spellStart"/>
      <w:r w:rsidRPr="0062450B">
        <w:rPr>
          <w:rFonts w:ascii="Times New Roman" w:eastAsia="Times New Roman" w:hAnsi="Times New Roman" w:cs="Times New Roman"/>
          <w:kern w:val="0"/>
          <w:sz w:val="24"/>
          <w:szCs w:val="24"/>
          <w14:ligatures w14:val="none"/>
        </w:rPr>
        <w:t>HepA</w:t>
      </w:r>
      <w:proofErr w:type="spellEnd"/>
    </w:p>
    <w:p w14:paraId="5DA511E6"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20AC85E4"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Rotavirus vaccination: 2 or more or 3 or more doses of Rotavirus vaccine, depending on the product type received (≥2 doses for Rotarix [RVI] or ≥3 doses for RotaTeq [RV5])</w:t>
      </w:r>
    </w:p>
    <w:p w14:paraId="15992D6F"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w:t>
      </w:r>
    </w:p>
    <w:p w14:paraId="3070B83E"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b/>
          <w:bCs/>
          <w:kern w:val="0"/>
          <w:sz w:val="24"/>
          <w:szCs w:val="24"/>
          <w14:ligatures w14:val="none"/>
        </w:rPr>
        <w:t xml:space="preserve">Combined 3 vaccine series (4:3:1): 3 or more doses of DTaP, 3 or more doses of Polio, and 1 or more doses of </w:t>
      </w:r>
      <w:proofErr w:type="gramStart"/>
      <w:r w:rsidRPr="0062450B">
        <w:rPr>
          <w:rFonts w:ascii="Times New Roman" w:eastAsia="Times New Roman" w:hAnsi="Times New Roman" w:cs="Times New Roman"/>
          <w:b/>
          <w:bCs/>
          <w:kern w:val="0"/>
          <w:sz w:val="24"/>
          <w:szCs w:val="24"/>
          <w14:ligatures w14:val="none"/>
        </w:rPr>
        <w:t>MMR</w:t>
      </w:r>
      <w:proofErr w:type="gramEnd"/>
    </w:p>
    <w:p w14:paraId="6F58EFD9"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Combined 4 vaccine series (4:3:1:3*): 4 or more doses of DTaP, 3 or more doses of Polio, 1 or more doses of MMR, and Hib full series (3 or 4 doses, depending on product type received) (In 2013 data, referred to as 4:3:1:4-FS)</w:t>
      </w:r>
    </w:p>
    <w:p w14:paraId="41F6430E"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Combined 5 vaccine series (4:3:1:3*:3): 4 or more doses of DTaP, 3 or more doses of Polio, 1 or more doses of MMR, Hib full series (3 or 4 doses, depending on product type received), and 3 or more doses of </w:t>
      </w:r>
      <w:proofErr w:type="spellStart"/>
      <w:r w:rsidRPr="0062450B">
        <w:rPr>
          <w:rFonts w:ascii="Times New Roman" w:eastAsia="Times New Roman" w:hAnsi="Times New Roman" w:cs="Times New Roman"/>
          <w:kern w:val="0"/>
          <w:sz w:val="24"/>
          <w:szCs w:val="24"/>
          <w14:ligatures w14:val="none"/>
        </w:rPr>
        <w:t>HepB</w:t>
      </w:r>
      <w:proofErr w:type="spellEnd"/>
      <w:r w:rsidRPr="0062450B">
        <w:rPr>
          <w:rFonts w:ascii="Times New Roman" w:eastAsia="Times New Roman" w:hAnsi="Times New Roman" w:cs="Times New Roman"/>
          <w:kern w:val="0"/>
          <w:sz w:val="24"/>
          <w:szCs w:val="24"/>
          <w14:ligatures w14:val="none"/>
        </w:rPr>
        <w:t xml:space="preserve"> (In 2013 data, referred to as 4:3:1:4:3-FS)</w:t>
      </w:r>
    </w:p>
    <w:p w14:paraId="1F77473B"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Combined 6 vaccine series (4:3:1:3*:3:1): 4 or more doses of DTaP, 3 or more doses of Polio, 1 or more doses of MMR, Hib full series (3 or 4 doses, depending on product type received), 3 or more doses of </w:t>
      </w:r>
      <w:proofErr w:type="spellStart"/>
      <w:r w:rsidRPr="0062450B">
        <w:rPr>
          <w:rFonts w:ascii="Times New Roman" w:eastAsia="Times New Roman" w:hAnsi="Times New Roman" w:cs="Times New Roman"/>
          <w:kern w:val="0"/>
          <w:sz w:val="24"/>
          <w:szCs w:val="24"/>
          <w14:ligatures w14:val="none"/>
        </w:rPr>
        <w:t>HepB</w:t>
      </w:r>
      <w:proofErr w:type="spellEnd"/>
      <w:r w:rsidRPr="0062450B">
        <w:rPr>
          <w:rFonts w:ascii="Times New Roman" w:eastAsia="Times New Roman" w:hAnsi="Times New Roman" w:cs="Times New Roman"/>
          <w:kern w:val="0"/>
          <w:sz w:val="24"/>
          <w:szCs w:val="24"/>
          <w14:ligatures w14:val="none"/>
        </w:rPr>
        <w:t>, and 1 or more doses of Varicella (In 2013 data, referred to as 4:3:1:4:3:1-FS)</w:t>
      </w:r>
    </w:p>
    <w:p w14:paraId="3DF45F6D" w14:textId="77777777" w:rsidR="0062450B" w:rsidRPr="0062450B" w:rsidRDefault="0062450B" w:rsidP="0062450B">
      <w:pPr>
        <w:spacing w:after="100" w:afterAutospacing="1" w:line="240" w:lineRule="auto"/>
        <w:rPr>
          <w:rFonts w:ascii="Times New Roman" w:eastAsia="Times New Roman" w:hAnsi="Times New Roman" w:cs="Times New Roman"/>
          <w:kern w:val="0"/>
          <w:sz w:val="24"/>
          <w:szCs w:val="24"/>
          <w14:ligatures w14:val="none"/>
        </w:rPr>
      </w:pPr>
      <w:r w:rsidRPr="0062450B">
        <w:rPr>
          <w:rFonts w:ascii="Times New Roman" w:eastAsia="Times New Roman" w:hAnsi="Times New Roman" w:cs="Times New Roman"/>
          <w:kern w:val="0"/>
          <w:sz w:val="24"/>
          <w:szCs w:val="24"/>
          <w14:ligatures w14:val="none"/>
        </w:rPr>
        <w:t xml:space="preserve">Combined 7 vaccine series (4:3:1:3*:3:1): 4 or more doses of DTaP, 3 or more doses of Polio, 1 or more doses of MMR, Hib full series (3 or 4 doses, depending on product type received), 3 or more doses of </w:t>
      </w:r>
      <w:proofErr w:type="spellStart"/>
      <w:r w:rsidRPr="0062450B">
        <w:rPr>
          <w:rFonts w:ascii="Times New Roman" w:eastAsia="Times New Roman" w:hAnsi="Times New Roman" w:cs="Times New Roman"/>
          <w:kern w:val="0"/>
          <w:sz w:val="24"/>
          <w:szCs w:val="24"/>
          <w14:ligatures w14:val="none"/>
        </w:rPr>
        <w:t>HepB</w:t>
      </w:r>
      <w:proofErr w:type="spellEnd"/>
      <w:r w:rsidRPr="0062450B">
        <w:rPr>
          <w:rFonts w:ascii="Times New Roman" w:eastAsia="Times New Roman" w:hAnsi="Times New Roman" w:cs="Times New Roman"/>
          <w:kern w:val="0"/>
          <w:sz w:val="24"/>
          <w:szCs w:val="24"/>
          <w14:ligatures w14:val="none"/>
        </w:rPr>
        <w:t>, 1 or more doses of Varicella, and 4 or more doses of PCV (In 2013 data, referred to as 4:3:1:4:3:1:4-FS)</w:t>
      </w:r>
    </w:p>
    <w:sectPr w:rsidR="0062450B" w:rsidRPr="0062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C156D"/>
    <w:multiLevelType w:val="multilevel"/>
    <w:tmpl w:val="6AD2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95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B"/>
    <w:rsid w:val="00312DC7"/>
    <w:rsid w:val="0062450B"/>
    <w:rsid w:val="00C94DBB"/>
    <w:rsid w:val="00CA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B5C4"/>
  <w15:chartTrackingRefBased/>
  <w15:docId w15:val="{8249AEC0-0E62-4B1E-9249-7FB3E85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3403">
      <w:bodyDiv w:val="1"/>
      <w:marLeft w:val="0"/>
      <w:marRight w:val="0"/>
      <w:marTop w:val="0"/>
      <w:marBottom w:val="0"/>
      <w:divBdr>
        <w:top w:val="none" w:sz="0" w:space="0" w:color="auto"/>
        <w:left w:val="none" w:sz="0" w:space="0" w:color="auto"/>
        <w:bottom w:val="none" w:sz="0" w:space="0" w:color="auto"/>
        <w:right w:val="none" w:sz="0" w:space="0" w:color="auto"/>
      </w:divBdr>
      <w:divsChild>
        <w:div w:id="1751735456">
          <w:marLeft w:val="-225"/>
          <w:marRight w:val="-225"/>
          <w:marTop w:val="0"/>
          <w:marBottom w:val="0"/>
          <w:divBdr>
            <w:top w:val="none" w:sz="0" w:space="0" w:color="auto"/>
            <w:left w:val="none" w:sz="0" w:space="0" w:color="auto"/>
            <w:bottom w:val="none" w:sz="0" w:space="0" w:color="auto"/>
            <w:right w:val="none" w:sz="0" w:space="0" w:color="auto"/>
          </w:divBdr>
          <w:divsChild>
            <w:div w:id="2015834101">
              <w:marLeft w:val="0"/>
              <w:marRight w:val="0"/>
              <w:marTop w:val="0"/>
              <w:marBottom w:val="0"/>
              <w:divBdr>
                <w:top w:val="none" w:sz="0" w:space="0" w:color="auto"/>
                <w:left w:val="none" w:sz="0" w:space="0" w:color="auto"/>
                <w:bottom w:val="none" w:sz="0" w:space="0" w:color="auto"/>
                <w:right w:val="none" w:sz="0" w:space="0" w:color="auto"/>
              </w:divBdr>
              <w:divsChild>
                <w:div w:id="1003968365">
                  <w:marLeft w:val="0"/>
                  <w:marRight w:val="0"/>
                  <w:marTop w:val="0"/>
                  <w:marBottom w:val="0"/>
                  <w:divBdr>
                    <w:top w:val="none" w:sz="0" w:space="0" w:color="auto"/>
                    <w:left w:val="none" w:sz="0" w:space="0" w:color="auto"/>
                    <w:bottom w:val="none" w:sz="0" w:space="0" w:color="auto"/>
                    <w:right w:val="none" w:sz="0" w:space="0" w:color="auto"/>
                  </w:divBdr>
                </w:div>
                <w:div w:id="137311103">
                  <w:marLeft w:val="0"/>
                  <w:marRight w:val="0"/>
                  <w:marTop w:val="0"/>
                  <w:marBottom w:val="0"/>
                  <w:divBdr>
                    <w:top w:val="none" w:sz="0" w:space="0" w:color="auto"/>
                    <w:left w:val="none" w:sz="0" w:space="0" w:color="auto"/>
                    <w:bottom w:val="none" w:sz="0" w:space="0" w:color="auto"/>
                    <w:right w:val="none" w:sz="0" w:space="0" w:color="auto"/>
                  </w:divBdr>
                </w:div>
                <w:div w:id="1927885337">
                  <w:marLeft w:val="0"/>
                  <w:marRight w:val="0"/>
                  <w:marTop w:val="0"/>
                  <w:marBottom w:val="0"/>
                  <w:divBdr>
                    <w:top w:val="none" w:sz="0" w:space="0" w:color="auto"/>
                    <w:left w:val="none" w:sz="0" w:space="0" w:color="auto"/>
                    <w:bottom w:val="none" w:sz="0" w:space="0" w:color="auto"/>
                    <w:right w:val="none" w:sz="0" w:space="0" w:color="auto"/>
                  </w:divBdr>
                  <w:divsChild>
                    <w:div w:id="1548491901">
                      <w:marLeft w:val="0"/>
                      <w:marRight w:val="0"/>
                      <w:marTop w:val="0"/>
                      <w:marBottom w:val="0"/>
                      <w:divBdr>
                        <w:top w:val="none" w:sz="0" w:space="0" w:color="auto"/>
                        <w:left w:val="none" w:sz="0" w:space="0" w:color="auto"/>
                        <w:bottom w:val="single" w:sz="6" w:space="0" w:color="EAEAEA"/>
                        <w:right w:val="none" w:sz="0" w:space="0" w:color="auto"/>
                      </w:divBdr>
                      <w:divsChild>
                        <w:div w:id="556161550">
                          <w:marLeft w:val="0"/>
                          <w:marRight w:val="0"/>
                          <w:marTop w:val="0"/>
                          <w:marBottom w:val="0"/>
                          <w:divBdr>
                            <w:top w:val="single" w:sz="18" w:space="0" w:color="EAEAEA"/>
                            <w:left w:val="none" w:sz="0" w:space="0" w:color="auto"/>
                            <w:bottom w:val="none" w:sz="0" w:space="0" w:color="auto"/>
                            <w:right w:val="none" w:sz="0" w:space="0" w:color="auto"/>
                          </w:divBdr>
                        </w:div>
                      </w:divsChild>
                    </w:div>
                  </w:divsChild>
                </w:div>
              </w:divsChild>
            </w:div>
          </w:divsChild>
        </w:div>
        <w:div w:id="2064405905">
          <w:marLeft w:val="-225"/>
          <w:marRight w:val="-225"/>
          <w:marTop w:val="0"/>
          <w:marBottom w:val="375"/>
          <w:divBdr>
            <w:top w:val="none" w:sz="0" w:space="0" w:color="auto"/>
            <w:left w:val="none" w:sz="0" w:space="0" w:color="auto"/>
            <w:bottom w:val="none" w:sz="0" w:space="0" w:color="auto"/>
            <w:right w:val="none" w:sz="0" w:space="0" w:color="auto"/>
          </w:divBdr>
          <w:divsChild>
            <w:div w:id="1607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cdc.gov/www_cdc_gov/vaccines/imz-managers/coverage/nis/child/tech-notes.html" TargetMode="External"/><Relationship Id="rId3" Type="http://schemas.openxmlformats.org/officeDocument/2006/relationships/settings" Target="settings.xml"/><Relationship Id="rId7" Type="http://schemas.openxmlformats.org/officeDocument/2006/relationships/hyperlink" Target="https://archive.cdc.gov/www_cdc_gov/vaccines/imz-managers/coverage/nis/child/tech-no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cdc.gov/www_cdc_gov/vaccines/imz-managers/coverage/nis/child/tech-notes.html" TargetMode="External"/><Relationship Id="rId11" Type="http://schemas.openxmlformats.org/officeDocument/2006/relationships/theme" Target="theme/theme1.xml"/><Relationship Id="rId5" Type="http://schemas.openxmlformats.org/officeDocument/2006/relationships/hyperlink" Target="https://archive.cdc.gov/www_cdc_gov/vaccines/imz-managers/coverage/nis/child/tech-not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cdc.gov/www_cdc_gov/vaccines/imz-managers/coverage/nis/child/tech-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Cindi (CDC/NCIRD/ISD)</dc:creator>
  <cp:keywords/>
  <dc:description/>
  <cp:lastModifiedBy>Knighton, Cindi (CDC/NCIRD/ISD)</cp:lastModifiedBy>
  <cp:revision>1</cp:revision>
  <dcterms:created xsi:type="dcterms:W3CDTF">2024-08-27T19:10:00Z</dcterms:created>
  <dcterms:modified xsi:type="dcterms:W3CDTF">2024-08-27T19:14:00Z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2024-08-27T19:14:12Z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17f2c056-6f43-4a8b-aca3-13a9164629a2</vt:lpwstr>
  </property>
  <property fmtid="{D5CDD505-2E9C-101B-9397-08002B2CF9AE}" pid="8" name="MSIP_Label_7b94a7b8-f06c-4dfe-bdcc-9b548fd58c31_ContentBits">
    <vt:lpwstr>0</vt:lpwstr>
  </property>
</Properties>
</file>